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F60" w:rsidRPr="000E5903" w:rsidRDefault="00283F60" w:rsidP="00283F60">
      <w:pPr>
        <w:jc w:val="center"/>
        <w:rPr>
          <w:b/>
          <w:sz w:val="20"/>
          <w:szCs w:val="20"/>
          <w:lang w:val="uk-UA"/>
        </w:rPr>
      </w:pPr>
      <w:r w:rsidRPr="000E5903">
        <w:rPr>
          <w:noProof/>
          <w:sz w:val="20"/>
          <w:szCs w:val="20"/>
        </w:rPr>
        <mc:AlternateContent>
          <mc:Choice Requires="wps">
            <w:drawing>
              <wp:anchor distT="4294967294" distB="4294967294" distL="114300" distR="114300" simplePos="0" relativeHeight="251660288" behindDoc="0" locked="0" layoutInCell="1" allowOverlap="1" wp14:anchorId="093B8C62" wp14:editId="4C853B55">
                <wp:simplePos x="0" y="0"/>
                <wp:positionH relativeFrom="column">
                  <wp:posOffset>0</wp:posOffset>
                </wp:positionH>
                <wp:positionV relativeFrom="paragraph">
                  <wp:posOffset>108584</wp:posOffset>
                </wp:positionV>
                <wp:extent cx="5943600" cy="0"/>
                <wp:effectExtent l="0" t="0" r="19050"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DE4F912" id="Прямая соединительная линия 4"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8.55pt" to="468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"/>
            </w:pict>
          </mc:Fallback>
        </mc:AlternateContent>
      </w:r>
    </w:p>
    <w:p w:rsidR="00D15FC8" w:rsidRPr="000E5903" w:rsidRDefault="00D15FC8" w:rsidP="00D15FC8">
      <w:pPr>
        <w:jc w:val="center"/>
        <w:rPr>
          <w:b/>
          <w:sz w:val="20"/>
          <w:szCs w:val="20"/>
          <w:lang w:val="uk-UA"/>
        </w:rPr>
      </w:pPr>
      <w:r w:rsidRPr="000E5903">
        <w:rPr>
          <w:b/>
          <w:sz w:val="20"/>
          <w:szCs w:val="20"/>
          <w:lang w:val="uk-UA"/>
        </w:rPr>
        <w:t>Шановний акціонер ПРИВАТНОГО АКЦІОНЕРНОГО ТОВАРИСТВА «АПК-ІНВЕСТ»!</w:t>
      </w:r>
    </w:p>
    <w:p w:rsidR="00D15FC8" w:rsidRPr="000E5903" w:rsidRDefault="00D15FC8" w:rsidP="00D15FC8">
      <w:pPr>
        <w:jc w:val="both"/>
        <w:rPr>
          <w:b/>
          <w:sz w:val="20"/>
          <w:szCs w:val="20"/>
          <w:lang w:val="uk-UA"/>
        </w:rPr>
      </w:pPr>
    </w:p>
    <w:p w:rsidR="00D15FC8" w:rsidRPr="000E5903" w:rsidRDefault="00D15FC8" w:rsidP="00D15FC8">
      <w:pPr>
        <w:jc w:val="both"/>
        <w:rPr>
          <w:sz w:val="20"/>
          <w:szCs w:val="20"/>
          <w:lang w:val="uk-UA"/>
        </w:rPr>
      </w:pPr>
      <w:r w:rsidRPr="000E5903">
        <w:rPr>
          <w:b/>
          <w:sz w:val="20"/>
          <w:szCs w:val="20"/>
          <w:lang w:val="uk-UA"/>
        </w:rPr>
        <w:t>ПРИВАТНЕ АКЦІОНЕРНЕ ТОВАРИСТВО «АПК-ІНВЕСТ»</w:t>
      </w:r>
      <w:r w:rsidRPr="000E5903">
        <w:rPr>
          <w:sz w:val="20"/>
          <w:szCs w:val="20"/>
          <w:lang w:val="uk-UA"/>
        </w:rPr>
        <w:t xml:space="preserve"> (місцезнаходження: 85325, Донецька область, Покровський район, село Рівне, вулиця Шопена, 1-А) повідомляє про проведення річних загальних зборів акціонерів, які відбудуться «18» квітня 2020 року об 11-00 за адресою: 85325, Донецька область, Покровський район, село Рівне, вулиця Шопена, будинок 1-А, 3-й поверх, кімната 302.  Реєстрація акціонерів буде проводитись з 9-00 до 9-45. Участь у річних загальних зборах акціонерів можуть прийняти як акціонери, так і їх представники. Для участі акціонерам при реєстрації необхідно мати паспорт, а представникам акціонерів паспорт та довіреність оформлену у відповідності до вимог чинного законодавства. </w:t>
      </w:r>
    </w:p>
    <w:p w:rsidR="00D15FC8" w:rsidRPr="000E5903" w:rsidRDefault="00D15FC8" w:rsidP="00D15FC8">
      <w:pPr>
        <w:ind w:firstLine="708"/>
        <w:jc w:val="both"/>
        <w:rPr>
          <w:sz w:val="20"/>
          <w:szCs w:val="20"/>
          <w:lang w:val="uk-UA"/>
        </w:rPr>
      </w:pPr>
      <w:r w:rsidRPr="000E5903">
        <w:rPr>
          <w:sz w:val="20"/>
          <w:szCs w:val="20"/>
          <w:lang w:val="uk-UA"/>
        </w:rPr>
        <w:t>Перелік акціонерів, які мають право на участь у річних загальних зборах буде складено на дату «14» квітня 2020 року.</w:t>
      </w:r>
    </w:p>
    <w:p w:rsidR="00D15FC8" w:rsidRPr="000E5903" w:rsidRDefault="00D15FC8" w:rsidP="00D15FC8">
      <w:pPr>
        <w:ind w:firstLine="708"/>
        <w:jc w:val="both"/>
        <w:rPr>
          <w:sz w:val="20"/>
          <w:szCs w:val="20"/>
          <w:lang w:val="uk-UA"/>
        </w:rPr>
      </w:pPr>
    </w:p>
    <w:p w:rsidR="00D15FC8" w:rsidRPr="000E5903" w:rsidRDefault="00D15FC8" w:rsidP="00D15FC8">
      <w:pPr>
        <w:ind w:left="709"/>
        <w:jc w:val="center"/>
        <w:rPr>
          <w:sz w:val="20"/>
          <w:szCs w:val="20"/>
          <w:lang w:val="uk-UA"/>
        </w:rPr>
      </w:pPr>
      <w:r w:rsidRPr="000E5903">
        <w:rPr>
          <w:sz w:val="20"/>
          <w:szCs w:val="20"/>
          <w:lang w:val="uk-UA"/>
        </w:rPr>
        <w:t>Проект порядку денного річних загальних зборів акціонерів:</w:t>
      </w:r>
    </w:p>
    <w:p w:rsidR="00D15FC8" w:rsidRPr="000E5903" w:rsidRDefault="00D15FC8" w:rsidP="00D15FC8">
      <w:pPr>
        <w:jc w:val="both"/>
        <w:rPr>
          <w:sz w:val="20"/>
          <w:szCs w:val="20"/>
          <w:u w:val="single"/>
          <w:lang w:val="uk-UA"/>
        </w:rPr>
      </w:pPr>
      <w:r w:rsidRPr="000E5903">
        <w:rPr>
          <w:sz w:val="20"/>
          <w:szCs w:val="20"/>
          <w:lang w:val="uk-UA"/>
        </w:rPr>
        <w:tab/>
      </w:r>
      <w:r w:rsidRPr="000E5903">
        <w:rPr>
          <w:sz w:val="20"/>
          <w:szCs w:val="20"/>
          <w:u w:val="single"/>
          <w:lang w:val="uk-UA"/>
        </w:rPr>
        <w:t>Питання, які відносяться до процедурних (організаційних) питань при проведенні річних загальних зборів акціонерів наступні:</w:t>
      </w:r>
    </w:p>
    <w:p w:rsidR="00D15FC8" w:rsidRPr="000E5903" w:rsidRDefault="00D15FC8" w:rsidP="00D15FC8">
      <w:pPr>
        <w:numPr>
          <w:ilvl w:val="0"/>
          <w:numId w:val="1"/>
        </w:numPr>
        <w:jc w:val="both"/>
        <w:rPr>
          <w:sz w:val="20"/>
          <w:szCs w:val="20"/>
          <w:lang w:val="uk-UA"/>
        </w:rPr>
      </w:pPr>
      <w:r w:rsidRPr="000E5903">
        <w:rPr>
          <w:sz w:val="20"/>
          <w:szCs w:val="20"/>
          <w:lang w:val="uk-UA"/>
        </w:rPr>
        <w:t>Про обрання складу лічильної комісії.</w:t>
      </w:r>
    </w:p>
    <w:p w:rsidR="00D15FC8" w:rsidRPr="000E5903" w:rsidRDefault="00D15FC8" w:rsidP="00D15FC8">
      <w:pPr>
        <w:numPr>
          <w:ilvl w:val="0"/>
          <w:numId w:val="1"/>
        </w:numPr>
        <w:jc w:val="both"/>
        <w:rPr>
          <w:sz w:val="20"/>
          <w:szCs w:val="20"/>
          <w:lang w:val="uk-UA"/>
        </w:rPr>
      </w:pPr>
      <w:r w:rsidRPr="000E5903">
        <w:rPr>
          <w:sz w:val="20"/>
          <w:szCs w:val="20"/>
          <w:lang w:val="uk-UA"/>
        </w:rPr>
        <w:t>Про обрання голови та секретаря річних загальних зборів акціонерів.</w:t>
      </w:r>
    </w:p>
    <w:p w:rsidR="00D15FC8" w:rsidRPr="000E5903" w:rsidRDefault="00D15FC8" w:rsidP="00D15FC8">
      <w:pPr>
        <w:numPr>
          <w:ilvl w:val="0"/>
          <w:numId w:val="1"/>
        </w:numPr>
        <w:jc w:val="both"/>
        <w:rPr>
          <w:sz w:val="20"/>
          <w:szCs w:val="20"/>
          <w:lang w:val="uk-UA"/>
        </w:rPr>
      </w:pPr>
      <w:r w:rsidRPr="000E5903">
        <w:rPr>
          <w:sz w:val="20"/>
          <w:szCs w:val="20"/>
          <w:lang w:val="uk-UA"/>
        </w:rPr>
        <w:t>Про затвердження регламенту річних загальних зборів акціонерів.</w:t>
      </w:r>
    </w:p>
    <w:p w:rsidR="00D15FC8" w:rsidRPr="000E5903" w:rsidRDefault="00D15FC8" w:rsidP="00D15FC8">
      <w:pPr>
        <w:numPr>
          <w:ilvl w:val="0"/>
          <w:numId w:val="1"/>
        </w:numPr>
        <w:jc w:val="both"/>
        <w:rPr>
          <w:sz w:val="20"/>
          <w:szCs w:val="20"/>
          <w:lang w:val="uk-UA"/>
        </w:rPr>
      </w:pPr>
      <w:r w:rsidRPr="000E5903">
        <w:rPr>
          <w:sz w:val="20"/>
          <w:szCs w:val="20"/>
          <w:lang w:val="uk-UA"/>
        </w:rPr>
        <w:t xml:space="preserve">Про затвердження черговості розгляду питань порядку денного. </w:t>
      </w:r>
    </w:p>
    <w:p w:rsidR="00D15FC8" w:rsidRPr="000E5903" w:rsidRDefault="00D15FC8" w:rsidP="00D15FC8">
      <w:pPr>
        <w:ind w:left="720"/>
        <w:jc w:val="both"/>
        <w:rPr>
          <w:sz w:val="20"/>
          <w:szCs w:val="20"/>
          <w:lang w:val="uk-UA"/>
        </w:rPr>
      </w:pPr>
    </w:p>
    <w:p w:rsidR="00D15FC8" w:rsidRPr="000E5903" w:rsidRDefault="00D15FC8" w:rsidP="00D15FC8">
      <w:pPr>
        <w:ind w:firstLine="708"/>
        <w:jc w:val="both"/>
        <w:rPr>
          <w:sz w:val="20"/>
          <w:szCs w:val="20"/>
          <w:u w:val="single"/>
          <w:lang w:val="uk-UA"/>
        </w:rPr>
      </w:pPr>
      <w:r w:rsidRPr="000E5903">
        <w:rPr>
          <w:sz w:val="20"/>
          <w:szCs w:val="20"/>
          <w:u w:val="single"/>
          <w:lang w:val="uk-UA"/>
        </w:rPr>
        <w:t>Порядок денний:</w:t>
      </w:r>
    </w:p>
    <w:p w:rsidR="00D15FC8" w:rsidRPr="000E5903" w:rsidRDefault="00D15FC8" w:rsidP="00D15FC8">
      <w:pPr>
        <w:numPr>
          <w:ilvl w:val="1"/>
          <w:numId w:val="3"/>
        </w:numPr>
        <w:tabs>
          <w:tab w:val="clear" w:pos="1440"/>
          <w:tab w:val="num" w:pos="709"/>
        </w:tabs>
        <w:ind w:left="709" w:hanging="425"/>
        <w:jc w:val="both"/>
        <w:rPr>
          <w:sz w:val="20"/>
          <w:szCs w:val="20"/>
          <w:lang w:val="uk-UA"/>
        </w:rPr>
      </w:pPr>
      <w:r w:rsidRPr="000E5903">
        <w:rPr>
          <w:sz w:val="20"/>
          <w:szCs w:val="20"/>
          <w:lang w:val="uk-UA"/>
        </w:rPr>
        <w:t>Розгляд звіту Виконавчого органу Товариства за 2019 рік та прийняття рішення за наслідками його розгляду.</w:t>
      </w:r>
    </w:p>
    <w:p w:rsidR="00D15FC8" w:rsidRPr="000E5903" w:rsidRDefault="00D15FC8" w:rsidP="00D15FC8">
      <w:pPr>
        <w:numPr>
          <w:ilvl w:val="1"/>
          <w:numId w:val="3"/>
        </w:numPr>
        <w:tabs>
          <w:tab w:val="clear" w:pos="1440"/>
          <w:tab w:val="num" w:pos="709"/>
        </w:tabs>
        <w:ind w:left="709" w:hanging="425"/>
        <w:jc w:val="both"/>
        <w:rPr>
          <w:sz w:val="20"/>
          <w:szCs w:val="20"/>
          <w:lang w:val="uk-UA"/>
        </w:rPr>
      </w:pPr>
      <w:r w:rsidRPr="000E5903">
        <w:rPr>
          <w:sz w:val="20"/>
          <w:szCs w:val="20"/>
          <w:lang w:val="uk-UA"/>
        </w:rPr>
        <w:t>Розгляд звіту Наглядової ради Товариства за 2019 рік та прийняття рішення за наслідками його розгляду.</w:t>
      </w:r>
    </w:p>
    <w:p w:rsidR="00D15FC8" w:rsidRPr="000E5903" w:rsidRDefault="00D15FC8" w:rsidP="00D15FC8">
      <w:pPr>
        <w:numPr>
          <w:ilvl w:val="1"/>
          <w:numId w:val="3"/>
        </w:numPr>
        <w:tabs>
          <w:tab w:val="clear" w:pos="1440"/>
          <w:tab w:val="num" w:pos="709"/>
        </w:tabs>
        <w:ind w:hanging="1156"/>
        <w:jc w:val="both"/>
        <w:rPr>
          <w:sz w:val="20"/>
          <w:szCs w:val="20"/>
          <w:lang w:val="uk-UA"/>
        </w:rPr>
      </w:pPr>
      <w:r w:rsidRPr="000E5903">
        <w:rPr>
          <w:sz w:val="20"/>
          <w:szCs w:val="20"/>
          <w:lang w:val="uk-UA"/>
        </w:rPr>
        <w:t>Затвердження річного звіту Товариства за 2019 рік.</w:t>
      </w:r>
    </w:p>
    <w:p w:rsidR="00D15FC8" w:rsidRPr="000E5903" w:rsidRDefault="00D15FC8" w:rsidP="00D15FC8">
      <w:pPr>
        <w:numPr>
          <w:ilvl w:val="1"/>
          <w:numId w:val="3"/>
        </w:numPr>
        <w:tabs>
          <w:tab w:val="clear" w:pos="1440"/>
          <w:tab w:val="num" w:pos="709"/>
        </w:tabs>
        <w:ind w:left="709" w:hanging="425"/>
        <w:jc w:val="both"/>
        <w:rPr>
          <w:sz w:val="20"/>
          <w:szCs w:val="20"/>
          <w:lang w:val="uk-UA"/>
        </w:rPr>
      </w:pPr>
      <w:r w:rsidRPr="000E5903">
        <w:rPr>
          <w:sz w:val="20"/>
          <w:szCs w:val="20"/>
          <w:lang w:val="uk-UA"/>
        </w:rPr>
        <w:t xml:space="preserve">Визначення напряму використання прибутку Товариства за результатами діяльності за 2019 рік. </w:t>
      </w:r>
    </w:p>
    <w:p w:rsidR="00D15FC8" w:rsidRPr="000E5903" w:rsidRDefault="00D15FC8" w:rsidP="00D15FC8">
      <w:pPr>
        <w:numPr>
          <w:ilvl w:val="1"/>
          <w:numId w:val="3"/>
        </w:numPr>
        <w:tabs>
          <w:tab w:val="clear" w:pos="1440"/>
          <w:tab w:val="num" w:pos="709"/>
        </w:tabs>
        <w:ind w:left="709" w:hanging="425"/>
        <w:jc w:val="both"/>
        <w:rPr>
          <w:sz w:val="20"/>
          <w:szCs w:val="20"/>
          <w:lang w:val="uk-UA"/>
        </w:rPr>
      </w:pPr>
      <w:r w:rsidRPr="000E5903">
        <w:rPr>
          <w:sz w:val="20"/>
          <w:szCs w:val="20"/>
          <w:shd w:val="clear" w:color="auto" w:fill="FFFFFF"/>
          <w:lang w:val="uk-UA"/>
        </w:rPr>
        <w:t>Прийняття рішення про виплату дивідендів, затвердження розміру дивідендів, способу та строку їх виплати.</w:t>
      </w:r>
    </w:p>
    <w:p w:rsidR="00D15FC8" w:rsidRPr="000E5903" w:rsidRDefault="00D15FC8" w:rsidP="00D15FC8">
      <w:pPr>
        <w:jc w:val="both"/>
        <w:rPr>
          <w:sz w:val="20"/>
          <w:szCs w:val="20"/>
          <w:lang w:val="uk-UA"/>
        </w:rPr>
      </w:pPr>
    </w:p>
    <w:p w:rsidR="00D15FC8" w:rsidRPr="000E5903" w:rsidRDefault="00D15FC8" w:rsidP="00D15FC8">
      <w:pPr>
        <w:ind w:left="709"/>
        <w:jc w:val="both"/>
        <w:rPr>
          <w:b/>
          <w:sz w:val="20"/>
          <w:szCs w:val="20"/>
          <w:lang w:val="uk-UA"/>
        </w:rPr>
      </w:pPr>
      <w:r w:rsidRPr="000E5903">
        <w:rPr>
          <w:b/>
          <w:sz w:val="20"/>
          <w:szCs w:val="20"/>
          <w:lang w:val="uk-UA"/>
        </w:rPr>
        <w:t>Проекти рішень за питаннями проекту порядку денного річних загальних зборів акціонерів:</w:t>
      </w:r>
    </w:p>
    <w:p w:rsidR="00D15FC8" w:rsidRPr="000E5903" w:rsidRDefault="00D15FC8" w:rsidP="00D15FC8">
      <w:pPr>
        <w:ind w:left="709"/>
        <w:jc w:val="both"/>
        <w:rPr>
          <w:sz w:val="20"/>
          <w:szCs w:val="20"/>
          <w:lang w:val="uk-UA"/>
        </w:rPr>
      </w:pPr>
    </w:p>
    <w:p w:rsidR="00D15FC8" w:rsidRPr="000E5903" w:rsidRDefault="00D15FC8" w:rsidP="00D15FC8">
      <w:pPr>
        <w:ind w:left="709"/>
        <w:jc w:val="both"/>
        <w:rPr>
          <w:sz w:val="20"/>
          <w:szCs w:val="20"/>
          <w:u w:val="single"/>
          <w:lang w:val="uk-UA"/>
        </w:rPr>
      </w:pPr>
      <w:r w:rsidRPr="000E5903">
        <w:rPr>
          <w:sz w:val="20"/>
          <w:szCs w:val="20"/>
          <w:u w:val="single"/>
          <w:lang w:val="uk-UA"/>
        </w:rPr>
        <w:t>Проекти рішень з питань, які відносяться до процедурних (організаційних) питань при проведенні річних загальних зборів акціонерів:</w:t>
      </w:r>
    </w:p>
    <w:p w:rsidR="00D15FC8" w:rsidRPr="000E5903" w:rsidRDefault="00D15FC8" w:rsidP="00D15FC8">
      <w:pPr>
        <w:pStyle w:val="a3"/>
        <w:numPr>
          <w:ilvl w:val="1"/>
          <w:numId w:val="1"/>
        </w:numPr>
        <w:ind w:left="284"/>
        <w:jc w:val="both"/>
        <w:rPr>
          <w:sz w:val="20"/>
          <w:szCs w:val="20"/>
          <w:lang w:val="uk-UA"/>
        </w:rPr>
      </w:pPr>
      <w:r w:rsidRPr="000E5903">
        <w:rPr>
          <w:sz w:val="20"/>
          <w:szCs w:val="20"/>
          <w:lang w:val="uk-UA"/>
        </w:rPr>
        <w:t>Для забезпечення здійснення підрахунку голосів на загальних зборах, роз'яснення щодо порядку голосування, підрахунку голосів та з інших питань, пов'язаних із забезпеченням проведення голосування на загальних зборах створити лічильну комісію у кількісному складі 1 (один) член який одночасно виступає її Головою, до складу лічильної комісії обрати Директора Департаменту економіки та фінансів ПрАТ «АПК-ІНВЕСТ» Черниша Олексія Анатолійовича;</w:t>
      </w:r>
    </w:p>
    <w:p w:rsidR="00D15FC8" w:rsidRPr="000E5903" w:rsidRDefault="00D15FC8" w:rsidP="00D15FC8">
      <w:pPr>
        <w:pStyle w:val="a3"/>
        <w:numPr>
          <w:ilvl w:val="1"/>
          <w:numId w:val="1"/>
        </w:numPr>
        <w:ind w:left="284"/>
        <w:jc w:val="both"/>
        <w:rPr>
          <w:sz w:val="20"/>
          <w:szCs w:val="20"/>
          <w:lang w:val="uk-UA"/>
        </w:rPr>
      </w:pPr>
      <w:r w:rsidRPr="000E5903">
        <w:rPr>
          <w:sz w:val="20"/>
          <w:szCs w:val="20"/>
          <w:lang w:val="uk-UA"/>
        </w:rPr>
        <w:t xml:space="preserve">Обрати головою річних загальних зборів акціонерів Омельяновича Дениса Сергійовича, який є акціонером ПрАТ «АПК-ІНВЕСТ», а для ведення та складання протоколу засідання річних загальних зборів секретарем зборів обрати Генерального директора ПрАТ «АПК-ІНВЕСТ» </w:t>
      </w:r>
      <w:proofErr w:type="spellStart"/>
      <w:r w:rsidRPr="000E5903">
        <w:rPr>
          <w:sz w:val="20"/>
          <w:szCs w:val="20"/>
          <w:lang w:val="uk-UA"/>
        </w:rPr>
        <w:t>Распопова</w:t>
      </w:r>
      <w:proofErr w:type="spellEnd"/>
      <w:r w:rsidRPr="000E5903">
        <w:rPr>
          <w:sz w:val="20"/>
          <w:szCs w:val="20"/>
          <w:lang w:val="uk-UA"/>
        </w:rPr>
        <w:t xml:space="preserve"> Романа Сергійовича. </w:t>
      </w:r>
    </w:p>
    <w:p w:rsidR="00D15FC8" w:rsidRPr="000E5903" w:rsidRDefault="00D15FC8" w:rsidP="00D15FC8">
      <w:pPr>
        <w:pStyle w:val="a3"/>
        <w:numPr>
          <w:ilvl w:val="1"/>
          <w:numId w:val="1"/>
        </w:numPr>
        <w:ind w:left="284"/>
        <w:jc w:val="both"/>
        <w:rPr>
          <w:sz w:val="20"/>
          <w:szCs w:val="20"/>
          <w:lang w:val="uk-UA"/>
        </w:rPr>
      </w:pPr>
      <w:r w:rsidRPr="000E5903">
        <w:rPr>
          <w:sz w:val="20"/>
          <w:szCs w:val="20"/>
          <w:lang w:val="uk-UA"/>
        </w:rPr>
        <w:t>Затвердити наступний регламент роботи річних загальних зборів акціонерів:</w:t>
      </w:r>
    </w:p>
    <w:p w:rsidR="00D15FC8" w:rsidRPr="000E5903" w:rsidRDefault="00D15FC8" w:rsidP="00D15FC8">
      <w:pPr>
        <w:pStyle w:val="a3"/>
        <w:numPr>
          <w:ilvl w:val="2"/>
          <w:numId w:val="1"/>
        </w:numPr>
        <w:ind w:left="284" w:firstLine="0"/>
        <w:jc w:val="both"/>
        <w:rPr>
          <w:sz w:val="20"/>
          <w:szCs w:val="20"/>
          <w:lang w:val="uk-UA"/>
        </w:rPr>
      </w:pPr>
      <w:r w:rsidRPr="000E5903">
        <w:rPr>
          <w:sz w:val="20"/>
          <w:szCs w:val="20"/>
          <w:lang w:val="uk-UA"/>
        </w:rPr>
        <w:t>На доповіді виступаючих з окремих питань порядку денного відводиться до 20 хвилин.</w:t>
      </w:r>
    </w:p>
    <w:p w:rsidR="00D15FC8" w:rsidRPr="000E5903" w:rsidRDefault="00D15FC8" w:rsidP="00D15FC8">
      <w:pPr>
        <w:pStyle w:val="a3"/>
        <w:numPr>
          <w:ilvl w:val="2"/>
          <w:numId w:val="1"/>
        </w:numPr>
        <w:ind w:left="284" w:firstLine="0"/>
        <w:jc w:val="both"/>
        <w:rPr>
          <w:sz w:val="20"/>
          <w:szCs w:val="20"/>
          <w:lang w:val="uk-UA"/>
        </w:rPr>
      </w:pPr>
      <w:r w:rsidRPr="000E5903">
        <w:rPr>
          <w:sz w:val="20"/>
          <w:szCs w:val="20"/>
          <w:lang w:val="uk-UA"/>
        </w:rPr>
        <w:t>На відповіді на запитання при обговоренні питань порядку денного відводиться до 10 хвилин.</w:t>
      </w:r>
    </w:p>
    <w:p w:rsidR="00D15FC8" w:rsidRPr="000E5903" w:rsidRDefault="00D15FC8" w:rsidP="00D15FC8">
      <w:pPr>
        <w:pStyle w:val="a3"/>
        <w:numPr>
          <w:ilvl w:val="2"/>
          <w:numId w:val="1"/>
        </w:numPr>
        <w:ind w:left="284" w:firstLine="0"/>
        <w:jc w:val="both"/>
        <w:rPr>
          <w:sz w:val="20"/>
          <w:szCs w:val="20"/>
          <w:lang w:val="uk-UA"/>
        </w:rPr>
      </w:pPr>
      <w:r w:rsidRPr="000E5903">
        <w:rPr>
          <w:sz w:val="20"/>
          <w:szCs w:val="20"/>
          <w:lang w:val="uk-UA"/>
        </w:rPr>
        <w:t>На обговорення питань порядку денного відводиться до 10 хвилин</w:t>
      </w:r>
    </w:p>
    <w:p w:rsidR="00D15FC8" w:rsidRPr="000E5903" w:rsidRDefault="00D15FC8" w:rsidP="00D15FC8">
      <w:pPr>
        <w:pStyle w:val="a3"/>
        <w:numPr>
          <w:ilvl w:val="2"/>
          <w:numId w:val="1"/>
        </w:numPr>
        <w:ind w:left="284" w:firstLine="0"/>
        <w:jc w:val="both"/>
        <w:rPr>
          <w:sz w:val="20"/>
          <w:szCs w:val="20"/>
          <w:lang w:val="uk-UA"/>
        </w:rPr>
      </w:pPr>
      <w:r w:rsidRPr="000E5903">
        <w:rPr>
          <w:sz w:val="20"/>
          <w:szCs w:val="20"/>
          <w:lang w:val="uk-UA"/>
        </w:rPr>
        <w:t>Виступаючим, які приймають участь  в обговоренні питань порядку денного надається до 10 хвилин.</w:t>
      </w:r>
    </w:p>
    <w:p w:rsidR="00D15FC8" w:rsidRPr="000E5903" w:rsidRDefault="00D15FC8" w:rsidP="00D15FC8">
      <w:pPr>
        <w:pStyle w:val="a3"/>
        <w:numPr>
          <w:ilvl w:val="2"/>
          <w:numId w:val="1"/>
        </w:numPr>
        <w:ind w:left="284" w:firstLine="0"/>
        <w:jc w:val="both"/>
        <w:rPr>
          <w:sz w:val="20"/>
          <w:szCs w:val="20"/>
          <w:lang w:val="uk-UA"/>
        </w:rPr>
      </w:pPr>
      <w:r w:rsidRPr="000E5903">
        <w:rPr>
          <w:sz w:val="20"/>
          <w:szCs w:val="20"/>
          <w:lang w:val="uk-UA"/>
        </w:rPr>
        <w:t>Голосування  по внесених пропозиціях акціонерів з вирішення питань порядку денного здійснюється у порядку черговості їх надходження до Голови зборів. Якщо пропозиція, яка поставлена на голосування, буде відхилена акціонерами то на голосування ставиться наступна, у порядку черговості, пропозиція. У разі якщо за пропозицію проголосувало більшість голосів акціонерів, які беруть участь у зборах то голосування по іншій (альтернативній) пропозиції з такого питання не проводиться – така пропозиція вважається відхиленою.</w:t>
      </w:r>
    </w:p>
    <w:p w:rsidR="00D15FC8" w:rsidRPr="000E5903" w:rsidRDefault="00D15FC8" w:rsidP="00D15FC8">
      <w:pPr>
        <w:pStyle w:val="a3"/>
        <w:numPr>
          <w:ilvl w:val="2"/>
          <w:numId w:val="1"/>
        </w:numPr>
        <w:ind w:left="284" w:firstLine="0"/>
        <w:jc w:val="both"/>
        <w:rPr>
          <w:sz w:val="20"/>
          <w:szCs w:val="20"/>
          <w:lang w:val="uk-UA"/>
        </w:rPr>
      </w:pPr>
      <w:r w:rsidRPr="000E5903">
        <w:rPr>
          <w:sz w:val="20"/>
          <w:szCs w:val="20"/>
          <w:lang w:val="uk-UA"/>
        </w:rPr>
        <w:t>Пропозиції акціонерів з вирішення питань порядку денного чи бажання прийняти участь у виступах надаються через Секретаря зборів.</w:t>
      </w:r>
    </w:p>
    <w:p w:rsidR="00D15FC8" w:rsidRPr="000E5903" w:rsidRDefault="00D15FC8" w:rsidP="00D15FC8">
      <w:pPr>
        <w:pStyle w:val="a3"/>
        <w:numPr>
          <w:ilvl w:val="2"/>
          <w:numId w:val="1"/>
        </w:numPr>
        <w:ind w:left="284" w:firstLine="0"/>
        <w:jc w:val="both"/>
        <w:rPr>
          <w:sz w:val="20"/>
          <w:szCs w:val="20"/>
          <w:lang w:val="uk-UA"/>
        </w:rPr>
      </w:pPr>
      <w:r w:rsidRPr="000E5903">
        <w:rPr>
          <w:sz w:val="20"/>
          <w:szCs w:val="20"/>
          <w:lang w:val="uk-UA"/>
        </w:rPr>
        <w:t>Збори провести протягом однієї години без перерви.</w:t>
      </w:r>
    </w:p>
    <w:p w:rsidR="00D15FC8" w:rsidRPr="000E5903" w:rsidRDefault="00D15FC8" w:rsidP="00D15FC8">
      <w:pPr>
        <w:numPr>
          <w:ilvl w:val="1"/>
          <w:numId w:val="1"/>
        </w:numPr>
        <w:tabs>
          <w:tab w:val="num" w:pos="284"/>
        </w:tabs>
        <w:ind w:left="284" w:hanging="284"/>
        <w:jc w:val="both"/>
        <w:rPr>
          <w:sz w:val="20"/>
          <w:szCs w:val="20"/>
          <w:lang w:val="uk-UA"/>
        </w:rPr>
      </w:pPr>
      <w:r w:rsidRPr="000E5903">
        <w:rPr>
          <w:sz w:val="20"/>
          <w:szCs w:val="20"/>
          <w:lang w:val="uk-UA"/>
        </w:rPr>
        <w:t>Затвердити черговість розгляду питань порядку денного, запропонованого Наглядовою радою при скликанні цих зборів, а саме:</w:t>
      </w:r>
    </w:p>
    <w:p w:rsidR="00D15FC8" w:rsidRPr="000E5903" w:rsidRDefault="00D15FC8" w:rsidP="00D15FC8">
      <w:pPr>
        <w:tabs>
          <w:tab w:val="num" w:pos="284"/>
        </w:tabs>
        <w:ind w:left="284"/>
        <w:jc w:val="both"/>
        <w:rPr>
          <w:sz w:val="20"/>
          <w:szCs w:val="20"/>
          <w:lang w:val="uk-UA"/>
        </w:rPr>
      </w:pPr>
      <w:r w:rsidRPr="000E5903">
        <w:rPr>
          <w:sz w:val="20"/>
          <w:szCs w:val="20"/>
          <w:lang w:val="uk-UA"/>
        </w:rPr>
        <w:t>Порядок денний:</w:t>
      </w:r>
    </w:p>
    <w:p w:rsidR="00D15FC8" w:rsidRPr="000E5903" w:rsidRDefault="00D15FC8" w:rsidP="00D15FC8">
      <w:pPr>
        <w:pStyle w:val="a3"/>
        <w:numPr>
          <w:ilvl w:val="0"/>
          <w:numId w:val="4"/>
        </w:numPr>
        <w:tabs>
          <w:tab w:val="num" w:pos="284"/>
        </w:tabs>
        <w:jc w:val="both"/>
        <w:rPr>
          <w:sz w:val="20"/>
          <w:szCs w:val="20"/>
          <w:lang w:val="uk-UA"/>
        </w:rPr>
      </w:pPr>
      <w:r w:rsidRPr="000E5903">
        <w:rPr>
          <w:sz w:val="20"/>
          <w:szCs w:val="20"/>
          <w:lang w:val="uk-UA"/>
        </w:rPr>
        <w:t>Розгляд звіту Виконавчого органу Товариства за 2019 рік та прийняття рішення за наслідками його розгляду.</w:t>
      </w:r>
    </w:p>
    <w:p w:rsidR="00D15FC8" w:rsidRPr="000E5903" w:rsidRDefault="00D15FC8" w:rsidP="00D15FC8">
      <w:pPr>
        <w:pStyle w:val="a3"/>
        <w:numPr>
          <w:ilvl w:val="0"/>
          <w:numId w:val="4"/>
        </w:numPr>
        <w:tabs>
          <w:tab w:val="num" w:pos="284"/>
        </w:tabs>
        <w:jc w:val="both"/>
        <w:rPr>
          <w:sz w:val="20"/>
          <w:szCs w:val="20"/>
          <w:lang w:val="uk-UA"/>
        </w:rPr>
      </w:pPr>
      <w:r w:rsidRPr="000E5903">
        <w:rPr>
          <w:sz w:val="20"/>
          <w:szCs w:val="20"/>
          <w:lang w:val="uk-UA"/>
        </w:rPr>
        <w:lastRenderedPageBreak/>
        <w:t>Розгляд звіту Наглядової ради Товариства за 2019 рік та прийняття рішення за наслідками його розгляду.</w:t>
      </w:r>
    </w:p>
    <w:p w:rsidR="00D15FC8" w:rsidRPr="000E5903" w:rsidRDefault="00D15FC8" w:rsidP="00D15FC8">
      <w:pPr>
        <w:pStyle w:val="a3"/>
        <w:numPr>
          <w:ilvl w:val="0"/>
          <w:numId w:val="4"/>
        </w:numPr>
        <w:tabs>
          <w:tab w:val="num" w:pos="284"/>
        </w:tabs>
        <w:jc w:val="both"/>
        <w:rPr>
          <w:sz w:val="20"/>
          <w:szCs w:val="20"/>
          <w:lang w:val="uk-UA"/>
        </w:rPr>
      </w:pPr>
      <w:r w:rsidRPr="000E5903">
        <w:rPr>
          <w:sz w:val="20"/>
          <w:szCs w:val="20"/>
          <w:lang w:val="uk-UA"/>
        </w:rPr>
        <w:t>Затвердження річного звіту Товариства за 2019 рік.</w:t>
      </w:r>
    </w:p>
    <w:p w:rsidR="00D15FC8" w:rsidRPr="000E5903" w:rsidRDefault="00D15FC8" w:rsidP="00D15FC8">
      <w:pPr>
        <w:pStyle w:val="a3"/>
        <w:numPr>
          <w:ilvl w:val="0"/>
          <w:numId w:val="4"/>
        </w:numPr>
        <w:tabs>
          <w:tab w:val="num" w:pos="284"/>
        </w:tabs>
        <w:jc w:val="both"/>
        <w:rPr>
          <w:sz w:val="20"/>
          <w:szCs w:val="20"/>
          <w:lang w:val="uk-UA"/>
        </w:rPr>
      </w:pPr>
      <w:r w:rsidRPr="000E5903">
        <w:rPr>
          <w:sz w:val="20"/>
          <w:szCs w:val="20"/>
          <w:lang w:val="uk-UA"/>
        </w:rPr>
        <w:t>Визначення напряму використання прибутку Товариства за результатами діяльності за 2019 рік.</w:t>
      </w:r>
    </w:p>
    <w:p w:rsidR="00D15FC8" w:rsidRPr="000E5903" w:rsidRDefault="00D15FC8" w:rsidP="00CF4F58">
      <w:pPr>
        <w:pStyle w:val="a3"/>
        <w:numPr>
          <w:ilvl w:val="0"/>
          <w:numId w:val="4"/>
        </w:numPr>
        <w:tabs>
          <w:tab w:val="num" w:pos="284"/>
        </w:tabs>
        <w:jc w:val="both"/>
        <w:rPr>
          <w:sz w:val="20"/>
          <w:szCs w:val="20"/>
          <w:lang w:val="uk-UA"/>
        </w:rPr>
      </w:pPr>
      <w:r w:rsidRPr="000E5903">
        <w:rPr>
          <w:sz w:val="20"/>
          <w:szCs w:val="20"/>
          <w:shd w:val="clear" w:color="auto" w:fill="FFFFFF"/>
          <w:lang w:val="uk-UA"/>
        </w:rPr>
        <w:t>Прийняття рішення про виплату дивідендів, затвердження розміру дивідендів, способу та строку їх виплати.</w:t>
      </w:r>
    </w:p>
    <w:p w:rsidR="00D15FC8" w:rsidRPr="000E5903" w:rsidRDefault="00D15FC8" w:rsidP="00D15FC8">
      <w:pPr>
        <w:ind w:left="1418"/>
        <w:jc w:val="both"/>
        <w:rPr>
          <w:sz w:val="20"/>
          <w:szCs w:val="20"/>
          <w:lang w:val="uk-UA"/>
        </w:rPr>
      </w:pPr>
    </w:p>
    <w:p w:rsidR="00D15FC8" w:rsidRPr="000E5903" w:rsidRDefault="00D15FC8" w:rsidP="00D15FC8">
      <w:pPr>
        <w:ind w:left="709"/>
        <w:jc w:val="both"/>
        <w:rPr>
          <w:sz w:val="20"/>
          <w:szCs w:val="20"/>
          <w:u w:val="single"/>
          <w:lang w:val="uk-UA"/>
        </w:rPr>
      </w:pPr>
      <w:r w:rsidRPr="000E5903">
        <w:rPr>
          <w:sz w:val="20"/>
          <w:szCs w:val="20"/>
          <w:u w:val="single"/>
          <w:lang w:val="uk-UA"/>
        </w:rPr>
        <w:t>Проекти рішень з питань порядку денного:</w:t>
      </w:r>
    </w:p>
    <w:p w:rsidR="00D15FC8" w:rsidRPr="000E5903" w:rsidRDefault="00D15FC8" w:rsidP="00D15FC8">
      <w:pPr>
        <w:pStyle w:val="a3"/>
        <w:numPr>
          <w:ilvl w:val="0"/>
          <w:numId w:val="2"/>
        </w:numPr>
        <w:ind w:left="426" w:hanging="207"/>
        <w:jc w:val="both"/>
        <w:rPr>
          <w:rFonts w:eastAsia="Calibri"/>
          <w:sz w:val="20"/>
          <w:szCs w:val="20"/>
          <w:lang w:val="uk-UA"/>
        </w:rPr>
      </w:pPr>
      <w:r w:rsidRPr="000E5903">
        <w:rPr>
          <w:sz w:val="20"/>
          <w:szCs w:val="20"/>
          <w:lang w:val="uk-UA"/>
        </w:rPr>
        <w:t xml:space="preserve">Затвердити звіт Виконавчого органу Товариства про результати фінансово-господарської діяльності за 2019 рік. Визнати роботу Генерального директора як Виконавчого органу Товариства в 2019 році ефективною.   </w:t>
      </w:r>
    </w:p>
    <w:p w:rsidR="00D15FC8" w:rsidRPr="000E5903" w:rsidRDefault="00D15FC8" w:rsidP="00D15FC8">
      <w:pPr>
        <w:pStyle w:val="a3"/>
        <w:numPr>
          <w:ilvl w:val="0"/>
          <w:numId w:val="2"/>
        </w:numPr>
        <w:ind w:left="426" w:hanging="207"/>
        <w:jc w:val="both"/>
        <w:rPr>
          <w:rFonts w:eastAsia="Calibri"/>
          <w:sz w:val="20"/>
          <w:szCs w:val="20"/>
          <w:lang w:val="uk-UA"/>
        </w:rPr>
      </w:pPr>
      <w:r w:rsidRPr="000E5903">
        <w:rPr>
          <w:sz w:val="20"/>
          <w:szCs w:val="20"/>
          <w:lang w:val="uk-UA"/>
        </w:rPr>
        <w:t>Затвердити звіт Наглядової ради Товариства за 2019 рік. Визнати роботу Наглядової ради в 2019 році ефективною та такою, що відповідає інтересам акціонерів.</w:t>
      </w:r>
    </w:p>
    <w:p w:rsidR="00D15FC8" w:rsidRPr="000E5903" w:rsidRDefault="00D15FC8" w:rsidP="00D15FC8">
      <w:pPr>
        <w:pStyle w:val="a3"/>
        <w:numPr>
          <w:ilvl w:val="0"/>
          <w:numId w:val="2"/>
        </w:numPr>
        <w:ind w:left="426" w:hanging="207"/>
        <w:jc w:val="both"/>
        <w:rPr>
          <w:rFonts w:eastAsia="Calibri"/>
          <w:sz w:val="20"/>
          <w:szCs w:val="20"/>
          <w:lang w:val="uk-UA"/>
        </w:rPr>
      </w:pPr>
      <w:r w:rsidRPr="000E5903">
        <w:rPr>
          <w:rFonts w:eastAsia="Calibri"/>
          <w:sz w:val="20"/>
          <w:szCs w:val="20"/>
          <w:lang w:val="uk-UA"/>
        </w:rPr>
        <w:t>Затвердити річний звіт Товариства, річну фінансову звітність Товариства за 2019 рік.</w:t>
      </w:r>
    </w:p>
    <w:p w:rsidR="00D15FC8" w:rsidRPr="000E5903" w:rsidRDefault="00D15FC8" w:rsidP="00D15FC8">
      <w:pPr>
        <w:pStyle w:val="a3"/>
        <w:numPr>
          <w:ilvl w:val="0"/>
          <w:numId w:val="2"/>
        </w:numPr>
        <w:ind w:left="426" w:hanging="207"/>
        <w:jc w:val="both"/>
        <w:rPr>
          <w:rFonts w:eastAsia="Calibri"/>
          <w:sz w:val="20"/>
          <w:szCs w:val="20"/>
          <w:lang w:val="uk-UA"/>
        </w:rPr>
      </w:pPr>
      <w:r w:rsidRPr="000E5903">
        <w:rPr>
          <w:sz w:val="20"/>
          <w:szCs w:val="20"/>
          <w:lang w:val="uk-UA"/>
        </w:rPr>
        <w:t xml:space="preserve">Частину суми отриманого чистого прибутку у розмірі </w:t>
      </w:r>
      <w:r w:rsidR="000E5903">
        <w:rPr>
          <w:sz w:val="20"/>
          <w:szCs w:val="20"/>
          <w:lang w:val="uk-UA"/>
        </w:rPr>
        <w:t>106 383</w:t>
      </w:r>
      <w:r w:rsidR="00C57361" w:rsidRPr="000E5903">
        <w:rPr>
          <w:sz w:val="20"/>
          <w:szCs w:val="20"/>
          <w:lang w:val="uk-UA"/>
        </w:rPr>
        <w:t xml:space="preserve">,53997 </w:t>
      </w:r>
      <w:r w:rsidRPr="000E5903">
        <w:rPr>
          <w:sz w:val="20"/>
          <w:szCs w:val="20"/>
        </w:rPr>
        <w:t>тис. грн.</w:t>
      </w:r>
      <w:r w:rsidRPr="000E5903">
        <w:rPr>
          <w:sz w:val="20"/>
          <w:szCs w:val="20"/>
          <w:lang w:val="uk-UA"/>
        </w:rPr>
        <w:t>, розподілити між акціонерами у формі дивідендів. Частину суми отриманого чистого прибутку у розмі</w:t>
      </w:r>
      <w:proofErr w:type="gramStart"/>
      <w:r w:rsidRPr="000E5903">
        <w:rPr>
          <w:sz w:val="20"/>
          <w:szCs w:val="20"/>
          <w:lang w:val="uk-UA"/>
        </w:rPr>
        <w:t>р</w:t>
      </w:r>
      <w:proofErr w:type="gramEnd"/>
      <w:r w:rsidRPr="000E5903">
        <w:rPr>
          <w:sz w:val="20"/>
          <w:szCs w:val="20"/>
          <w:lang w:val="uk-UA"/>
        </w:rPr>
        <w:t xml:space="preserve">і </w:t>
      </w:r>
      <w:r w:rsidR="00C57361" w:rsidRPr="000E5903">
        <w:rPr>
          <w:sz w:val="20"/>
          <w:szCs w:val="20"/>
          <w:lang w:val="uk-UA"/>
        </w:rPr>
        <w:t xml:space="preserve">621 814,46003 </w:t>
      </w:r>
      <w:r w:rsidRPr="000E5903">
        <w:rPr>
          <w:sz w:val="20"/>
          <w:szCs w:val="20"/>
        </w:rPr>
        <w:t xml:space="preserve">тис. грн. </w:t>
      </w:r>
      <w:r w:rsidRPr="000E5903">
        <w:rPr>
          <w:sz w:val="20"/>
          <w:szCs w:val="20"/>
          <w:lang w:val="uk-UA"/>
        </w:rPr>
        <w:t xml:space="preserve">направити до суми </w:t>
      </w:r>
      <w:r w:rsidR="00DD28B8" w:rsidRPr="000E5903">
        <w:rPr>
          <w:sz w:val="20"/>
          <w:szCs w:val="20"/>
          <w:lang w:val="uk-UA"/>
        </w:rPr>
        <w:t>нерозподіленого прибутку</w:t>
      </w:r>
      <w:r w:rsidRPr="000E5903">
        <w:rPr>
          <w:sz w:val="20"/>
          <w:szCs w:val="20"/>
          <w:lang w:val="uk-UA"/>
        </w:rPr>
        <w:t xml:space="preserve">. </w:t>
      </w:r>
    </w:p>
    <w:p w:rsidR="00D15FC8" w:rsidRPr="000E5903" w:rsidRDefault="00D15FC8" w:rsidP="00D15FC8">
      <w:pPr>
        <w:pStyle w:val="a3"/>
        <w:numPr>
          <w:ilvl w:val="0"/>
          <w:numId w:val="2"/>
        </w:numPr>
        <w:ind w:left="426" w:hanging="207"/>
        <w:jc w:val="both"/>
        <w:rPr>
          <w:rFonts w:eastAsia="Calibri"/>
          <w:sz w:val="20"/>
          <w:szCs w:val="20"/>
          <w:lang w:val="uk-UA"/>
        </w:rPr>
      </w:pPr>
      <w:r w:rsidRPr="000E5903">
        <w:rPr>
          <w:rFonts w:eastAsia="Calibri"/>
          <w:sz w:val="20"/>
          <w:szCs w:val="20"/>
          <w:lang w:val="uk-UA"/>
        </w:rPr>
        <w:t xml:space="preserve">Затвердити виплату дивідендів акціонерам за 2019 р. у розмірі </w:t>
      </w:r>
      <w:r w:rsidR="00C57361" w:rsidRPr="000E5903">
        <w:rPr>
          <w:sz w:val="20"/>
          <w:szCs w:val="20"/>
          <w:lang w:val="uk-UA"/>
        </w:rPr>
        <w:t>96,57</w:t>
      </w:r>
      <w:r w:rsidRPr="000E5903">
        <w:rPr>
          <w:sz w:val="20"/>
          <w:szCs w:val="20"/>
        </w:rPr>
        <w:t xml:space="preserve"> </w:t>
      </w:r>
      <w:r w:rsidRPr="000E5903">
        <w:rPr>
          <w:rFonts w:eastAsia="Calibri"/>
          <w:sz w:val="20"/>
          <w:szCs w:val="20"/>
          <w:lang w:val="uk-UA"/>
        </w:rPr>
        <w:t xml:space="preserve">грн. на одну просту іменну акцію. </w:t>
      </w:r>
      <w:r w:rsidRPr="000E5903">
        <w:rPr>
          <w:sz w:val="20"/>
          <w:szCs w:val="20"/>
          <w:lang w:val="uk-UA"/>
        </w:rPr>
        <w:t>Доручити Наглядовій раді Товариства встановити дату складення переліку осіб, які мають право на отримання дивідендів, а також порядок і строк їх виплати. Доручити Виконавчому органу Товариства забезпечити нарахування та виплату дивідендів безпосередньо акціо</w:t>
      </w:r>
      <w:bookmarkStart w:id="0" w:name="_GoBack"/>
      <w:bookmarkEnd w:id="0"/>
      <w:r w:rsidRPr="000E5903">
        <w:rPr>
          <w:sz w:val="20"/>
          <w:szCs w:val="20"/>
          <w:lang w:val="uk-UA"/>
        </w:rPr>
        <w:t>нерам в порядку та строки, визначені Наглядовою радою Товариства та чинним законодавством.</w:t>
      </w:r>
    </w:p>
    <w:p w:rsidR="00D15FC8" w:rsidRPr="000E5903" w:rsidRDefault="00D15FC8" w:rsidP="00D15FC8">
      <w:pPr>
        <w:pStyle w:val="a3"/>
        <w:ind w:left="426"/>
        <w:jc w:val="both"/>
        <w:rPr>
          <w:rFonts w:eastAsia="Calibri"/>
          <w:sz w:val="20"/>
          <w:szCs w:val="20"/>
          <w:lang w:val="uk-UA"/>
        </w:rPr>
      </w:pPr>
    </w:p>
    <w:p w:rsidR="00D15FC8" w:rsidRPr="000E5903" w:rsidRDefault="00D15FC8" w:rsidP="00D15FC8">
      <w:pPr>
        <w:ind w:firstLine="708"/>
        <w:jc w:val="both"/>
        <w:rPr>
          <w:sz w:val="20"/>
          <w:szCs w:val="20"/>
          <w:lang w:val="uk-UA"/>
        </w:rPr>
      </w:pPr>
      <w:r w:rsidRPr="000E5903">
        <w:rPr>
          <w:sz w:val="20"/>
          <w:szCs w:val="20"/>
          <w:lang w:val="uk-UA"/>
        </w:rPr>
        <w:t>До проведення річних загальних зборів акціонери можуть отримати інформацію та ознайомитись з документами, необхідними для прийняття рішень з питань проекту порядку денного у робочі дні – з понеділка по п’ятницю з 9:00 до 13:00, з 14:00 до 18:00, за адресою: 85325, Донецька область, Покровський район, село Рівне, вулиця Шопена, будинок 1-а, 3-й поверх, кімната 302, шляхом подання письмового звернення до Генерального директора Товариства. Особа, відповідальна за порядок ознайомлення акціонерів (їх представників) з документами  – Генеральний директор Товариства – Распопов Роман Сергійович.</w:t>
      </w:r>
    </w:p>
    <w:p w:rsidR="00D15FC8" w:rsidRPr="000E5903" w:rsidRDefault="00D15FC8" w:rsidP="00D15FC8">
      <w:pPr>
        <w:ind w:firstLine="708"/>
        <w:jc w:val="both"/>
        <w:rPr>
          <w:sz w:val="20"/>
          <w:szCs w:val="20"/>
          <w:lang w:val="uk-UA"/>
        </w:rPr>
      </w:pPr>
      <w:r w:rsidRPr="000E5903">
        <w:rPr>
          <w:sz w:val="20"/>
          <w:szCs w:val="20"/>
          <w:lang w:val="uk-UA"/>
        </w:rPr>
        <w:t>Пропозиції стосовно внесення змін та доповнень до проекту порядку денного річних загальних зборів акціонерів вносяться Голові Наглядової ради Товариства за адресою: 85325, Донецька область, Покровський район, село Рівне, вулиця Шопена, будинок 1-а, 3-й поверх, кімната 302, в порядку встановленому законом.</w:t>
      </w:r>
    </w:p>
    <w:p w:rsidR="00D15FC8" w:rsidRPr="000E5903" w:rsidRDefault="00D15FC8" w:rsidP="00D15FC8">
      <w:pPr>
        <w:ind w:firstLine="709"/>
        <w:jc w:val="both"/>
        <w:rPr>
          <w:sz w:val="20"/>
          <w:szCs w:val="20"/>
          <w:u w:val="single"/>
          <w:lang w:val="uk-UA"/>
        </w:rPr>
      </w:pPr>
      <w:r w:rsidRPr="000E5903">
        <w:rPr>
          <w:sz w:val="20"/>
          <w:szCs w:val="20"/>
          <w:lang w:val="uk-UA"/>
        </w:rPr>
        <w:t xml:space="preserve">Адреса власного веб-сайту, на якому розміщена інформація з проектами рішень щодо кожного з питань, включених до проекту порядку денного - </w:t>
      </w:r>
      <w:hyperlink r:id="rId6" w:history="1">
        <w:r w:rsidRPr="000E5903">
          <w:rPr>
            <w:rStyle w:val="a4"/>
            <w:color w:val="auto"/>
            <w:sz w:val="20"/>
            <w:szCs w:val="20"/>
            <w:lang w:val="uk-UA"/>
          </w:rPr>
          <w:t>www.apk-invest.com.ua</w:t>
        </w:r>
      </w:hyperlink>
    </w:p>
    <w:p w:rsidR="00D15FC8" w:rsidRPr="000E5903" w:rsidRDefault="00D15FC8" w:rsidP="00D15FC8">
      <w:pPr>
        <w:jc w:val="center"/>
        <w:rPr>
          <w:sz w:val="20"/>
          <w:szCs w:val="20"/>
          <w:lang w:val="uk-UA"/>
        </w:rPr>
      </w:pPr>
      <w:r w:rsidRPr="000E5903">
        <w:rPr>
          <w:sz w:val="20"/>
          <w:szCs w:val="20"/>
          <w:lang w:val="uk-UA"/>
        </w:rPr>
        <w:t>Основні показники фінансово-господарської діяльності підприємства за 2019 рік (тис. грн)</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gridCol w:w="1560"/>
        <w:gridCol w:w="1417"/>
      </w:tblGrid>
      <w:tr w:rsidR="000E5903" w:rsidRPr="000E5903" w:rsidTr="00F11359">
        <w:tc>
          <w:tcPr>
            <w:tcW w:w="6345" w:type="dxa"/>
            <w:vMerge w:val="restart"/>
            <w:shd w:val="clear" w:color="auto" w:fill="auto"/>
            <w:vAlign w:val="bottom"/>
          </w:tcPr>
          <w:p w:rsidR="00D15FC8" w:rsidRPr="000E5903" w:rsidRDefault="00D15FC8" w:rsidP="00F11359">
            <w:pPr>
              <w:jc w:val="center"/>
              <w:rPr>
                <w:sz w:val="20"/>
                <w:szCs w:val="20"/>
                <w:lang w:val="uk-UA"/>
              </w:rPr>
            </w:pPr>
            <w:r w:rsidRPr="000E5903">
              <w:rPr>
                <w:sz w:val="20"/>
                <w:szCs w:val="20"/>
                <w:lang w:val="uk-UA"/>
              </w:rPr>
              <w:t>Найменування показника</w:t>
            </w:r>
          </w:p>
        </w:tc>
        <w:tc>
          <w:tcPr>
            <w:tcW w:w="2977" w:type="dxa"/>
            <w:gridSpan w:val="2"/>
            <w:shd w:val="clear" w:color="auto" w:fill="auto"/>
            <w:vAlign w:val="bottom"/>
          </w:tcPr>
          <w:p w:rsidR="00D15FC8" w:rsidRPr="000E5903" w:rsidRDefault="00D15FC8" w:rsidP="00F11359">
            <w:pPr>
              <w:jc w:val="center"/>
              <w:rPr>
                <w:sz w:val="20"/>
                <w:szCs w:val="20"/>
                <w:lang w:val="uk-UA"/>
              </w:rPr>
            </w:pPr>
            <w:r w:rsidRPr="000E5903">
              <w:rPr>
                <w:sz w:val="20"/>
                <w:szCs w:val="20"/>
                <w:lang w:val="uk-UA"/>
              </w:rPr>
              <w:t>Період</w:t>
            </w:r>
          </w:p>
        </w:tc>
      </w:tr>
      <w:tr w:rsidR="000E5903" w:rsidRPr="000E5903" w:rsidTr="00F11359">
        <w:tc>
          <w:tcPr>
            <w:tcW w:w="6345" w:type="dxa"/>
            <w:vMerge/>
            <w:shd w:val="clear" w:color="auto" w:fill="auto"/>
            <w:vAlign w:val="bottom"/>
          </w:tcPr>
          <w:p w:rsidR="00D15FC8" w:rsidRPr="000E5903" w:rsidRDefault="00D15FC8" w:rsidP="00F11359">
            <w:pPr>
              <w:jc w:val="both"/>
              <w:rPr>
                <w:sz w:val="20"/>
                <w:szCs w:val="20"/>
                <w:lang w:val="uk-UA"/>
              </w:rPr>
            </w:pPr>
          </w:p>
        </w:tc>
        <w:tc>
          <w:tcPr>
            <w:tcW w:w="1560" w:type="dxa"/>
            <w:shd w:val="clear" w:color="auto" w:fill="auto"/>
            <w:vAlign w:val="bottom"/>
          </w:tcPr>
          <w:p w:rsidR="00D15FC8" w:rsidRPr="000E5903" w:rsidRDefault="00D15FC8" w:rsidP="00F11359">
            <w:pPr>
              <w:jc w:val="center"/>
              <w:rPr>
                <w:sz w:val="20"/>
                <w:szCs w:val="20"/>
                <w:lang w:val="uk-UA"/>
              </w:rPr>
            </w:pPr>
            <w:r w:rsidRPr="000E5903">
              <w:rPr>
                <w:sz w:val="20"/>
                <w:szCs w:val="20"/>
                <w:lang w:val="uk-UA"/>
              </w:rPr>
              <w:t xml:space="preserve">Звітний </w:t>
            </w:r>
          </w:p>
        </w:tc>
        <w:tc>
          <w:tcPr>
            <w:tcW w:w="1417" w:type="dxa"/>
            <w:shd w:val="clear" w:color="auto" w:fill="auto"/>
            <w:vAlign w:val="bottom"/>
          </w:tcPr>
          <w:p w:rsidR="00D15FC8" w:rsidRPr="000E5903" w:rsidRDefault="00D15FC8" w:rsidP="00F11359">
            <w:pPr>
              <w:jc w:val="center"/>
              <w:rPr>
                <w:sz w:val="20"/>
                <w:szCs w:val="20"/>
                <w:lang w:val="uk-UA"/>
              </w:rPr>
            </w:pPr>
            <w:r w:rsidRPr="000E5903">
              <w:rPr>
                <w:sz w:val="20"/>
                <w:szCs w:val="20"/>
                <w:lang w:val="uk-UA"/>
              </w:rPr>
              <w:t>попередній</w:t>
            </w:r>
          </w:p>
        </w:tc>
      </w:tr>
      <w:tr w:rsidR="000E5903" w:rsidRPr="000E5903" w:rsidTr="00F11359">
        <w:tc>
          <w:tcPr>
            <w:tcW w:w="6345" w:type="dxa"/>
            <w:shd w:val="clear" w:color="auto" w:fill="auto"/>
            <w:vAlign w:val="bottom"/>
          </w:tcPr>
          <w:p w:rsidR="00D15FC8" w:rsidRPr="000E5903" w:rsidRDefault="00D15FC8" w:rsidP="00F11359">
            <w:pPr>
              <w:rPr>
                <w:sz w:val="20"/>
                <w:szCs w:val="20"/>
                <w:lang w:val="uk-UA"/>
              </w:rPr>
            </w:pPr>
            <w:r w:rsidRPr="000E5903">
              <w:rPr>
                <w:sz w:val="20"/>
                <w:szCs w:val="20"/>
                <w:lang w:val="uk-UA"/>
              </w:rPr>
              <w:t>Усього активів</w:t>
            </w:r>
          </w:p>
        </w:tc>
        <w:tc>
          <w:tcPr>
            <w:tcW w:w="1560"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6 565 618</w:t>
            </w:r>
          </w:p>
        </w:tc>
        <w:tc>
          <w:tcPr>
            <w:tcW w:w="1417"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5 985 055</w:t>
            </w:r>
          </w:p>
        </w:tc>
      </w:tr>
      <w:tr w:rsidR="000E5903" w:rsidRPr="000E5903" w:rsidTr="00F11359">
        <w:tc>
          <w:tcPr>
            <w:tcW w:w="6345" w:type="dxa"/>
            <w:shd w:val="clear" w:color="auto" w:fill="auto"/>
            <w:vAlign w:val="bottom"/>
          </w:tcPr>
          <w:p w:rsidR="00D15FC8" w:rsidRPr="000E5903" w:rsidRDefault="00D15FC8" w:rsidP="00F11359">
            <w:pPr>
              <w:rPr>
                <w:sz w:val="20"/>
                <w:szCs w:val="20"/>
                <w:lang w:val="uk-UA"/>
              </w:rPr>
            </w:pPr>
            <w:r w:rsidRPr="000E5903">
              <w:rPr>
                <w:sz w:val="20"/>
                <w:szCs w:val="20"/>
                <w:lang w:val="uk-UA"/>
              </w:rPr>
              <w:t xml:space="preserve">Основні засоби </w:t>
            </w:r>
            <w:r w:rsidRPr="000E5903">
              <w:rPr>
                <w:sz w:val="20"/>
                <w:szCs w:val="20"/>
                <w:shd w:val="clear" w:color="auto" w:fill="FFFFFF"/>
                <w:lang w:val="uk-UA"/>
              </w:rPr>
              <w:t xml:space="preserve">(за залишковою вартістю) </w:t>
            </w:r>
          </w:p>
        </w:tc>
        <w:tc>
          <w:tcPr>
            <w:tcW w:w="1560"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4 126 758</w:t>
            </w:r>
          </w:p>
        </w:tc>
        <w:tc>
          <w:tcPr>
            <w:tcW w:w="1417"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3 993 707</w:t>
            </w:r>
          </w:p>
        </w:tc>
      </w:tr>
      <w:tr w:rsidR="000E5903" w:rsidRPr="000E5903" w:rsidTr="00F11359">
        <w:tc>
          <w:tcPr>
            <w:tcW w:w="6345" w:type="dxa"/>
            <w:shd w:val="clear" w:color="auto" w:fill="auto"/>
            <w:vAlign w:val="bottom"/>
          </w:tcPr>
          <w:p w:rsidR="00D15FC8" w:rsidRPr="000E5903" w:rsidRDefault="00D15FC8" w:rsidP="00F11359">
            <w:pPr>
              <w:rPr>
                <w:sz w:val="20"/>
                <w:szCs w:val="20"/>
                <w:lang w:val="uk-UA"/>
              </w:rPr>
            </w:pPr>
            <w:r w:rsidRPr="000E5903">
              <w:rPr>
                <w:sz w:val="20"/>
                <w:szCs w:val="20"/>
                <w:lang w:val="uk-UA"/>
              </w:rPr>
              <w:t>Запаси</w:t>
            </w:r>
          </w:p>
        </w:tc>
        <w:tc>
          <w:tcPr>
            <w:tcW w:w="1560"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527 738</w:t>
            </w:r>
          </w:p>
        </w:tc>
        <w:tc>
          <w:tcPr>
            <w:tcW w:w="1417"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514 087</w:t>
            </w:r>
          </w:p>
        </w:tc>
      </w:tr>
      <w:tr w:rsidR="000E5903" w:rsidRPr="000E5903" w:rsidTr="00F11359">
        <w:tc>
          <w:tcPr>
            <w:tcW w:w="6345" w:type="dxa"/>
            <w:shd w:val="clear" w:color="auto" w:fill="auto"/>
            <w:vAlign w:val="bottom"/>
          </w:tcPr>
          <w:p w:rsidR="00D15FC8" w:rsidRPr="000E5903" w:rsidRDefault="00D15FC8" w:rsidP="00F11359">
            <w:pPr>
              <w:rPr>
                <w:sz w:val="20"/>
                <w:szCs w:val="20"/>
                <w:lang w:val="uk-UA"/>
              </w:rPr>
            </w:pPr>
            <w:r w:rsidRPr="000E5903">
              <w:rPr>
                <w:sz w:val="20"/>
                <w:szCs w:val="20"/>
                <w:lang w:val="uk-UA"/>
              </w:rPr>
              <w:t>Сумарна дебіторська заборгованість</w:t>
            </w:r>
          </w:p>
        </w:tc>
        <w:tc>
          <w:tcPr>
            <w:tcW w:w="1560"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1 052 988</w:t>
            </w:r>
          </w:p>
        </w:tc>
        <w:tc>
          <w:tcPr>
            <w:tcW w:w="1417"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731 901</w:t>
            </w:r>
          </w:p>
        </w:tc>
      </w:tr>
      <w:tr w:rsidR="000E5903" w:rsidRPr="000E5903" w:rsidTr="00F11359">
        <w:tc>
          <w:tcPr>
            <w:tcW w:w="6345" w:type="dxa"/>
            <w:shd w:val="clear" w:color="auto" w:fill="auto"/>
            <w:vAlign w:val="bottom"/>
          </w:tcPr>
          <w:p w:rsidR="00D15FC8" w:rsidRPr="000E5903" w:rsidRDefault="00D15FC8" w:rsidP="00F11359">
            <w:pPr>
              <w:rPr>
                <w:sz w:val="20"/>
                <w:szCs w:val="20"/>
                <w:lang w:val="uk-UA"/>
              </w:rPr>
            </w:pPr>
            <w:r w:rsidRPr="000E5903">
              <w:rPr>
                <w:sz w:val="20"/>
                <w:szCs w:val="20"/>
                <w:lang w:val="uk-UA"/>
              </w:rPr>
              <w:t>Гроші та їх еквіваленти</w:t>
            </w:r>
          </w:p>
        </w:tc>
        <w:tc>
          <w:tcPr>
            <w:tcW w:w="1560"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62 033</w:t>
            </w:r>
          </w:p>
        </w:tc>
        <w:tc>
          <w:tcPr>
            <w:tcW w:w="1417"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10 748</w:t>
            </w:r>
          </w:p>
        </w:tc>
      </w:tr>
      <w:tr w:rsidR="000E5903" w:rsidRPr="000E5903" w:rsidTr="00F11359">
        <w:tc>
          <w:tcPr>
            <w:tcW w:w="6345" w:type="dxa"/>
            <w:shd w:val="clear" w:color="auto" w:fill="auto"/>
            <w:vAlign w:val="bottom"/>
          </w:tcPr>
          <w:p w:rsidR="00D15FC8" w:rsidRPr="000E5903" w:rsidRDefault="00D15FC8" w:rsidP="00F11359">
            <w:pPr>
              <w:rPr>
                <w:sz w:val="20"/>
                <w:szCs w:val="20"/>
                <w:lang w:val="uk-UA"/>
              </w:rPr>
            </w:pPr>
            <w:r w:rsidRPr="000E5903">
              <w:rPr>
                <w:sz w:val="20"/>
                <w:szCs w:val="20"/>
                <w:lang w:val="uk-UA"/>
              </w:rPr>
              <w:t>Нерозподілений прибуток (непокритий збиток)</w:t>
            </w:r>
          </w:p>
        </w:tc>
        <w:tc>
          <w:tcPr>
            <w:tcW w:w="1560"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4 100 650</w:t>
            </w:r>
          </w:p>
        </w:tc>
        <w:tc>
          <w:tcPr>
            <w:tcW w:w="1417"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3 766 244</w:t>
            </w:r>
          </w:p>
        </w:tc>
      </w:tr>
      <w:tr w:rsidR="000E5903" w:rsidRPr="000E5903" w:rsidTr="00F11359">
        <w:tc>
          <w:tcPr>
            <w:tcW w:w="6345" w:type="dxa"/>
            <w:shd w:val="clear" w:color="auto" w:fill="auto"/>
            <w:vAlign w:val="bottom"/>
          </w:tcPr>
          <w:p w:rsidR="00D15FC8" w:rsidRPr="000E5903" w:rsidRDefault="00D15FC8" w:rsidP="00F11359">
            <w:pPr>
              <w:rPr>
                <w:sz w:val="20"/>
                <w:szCs w:val="20"/>
                <w:lang w:val="uk-UA"/>
              </w:rPr>
            </w:pPr>
            <w:r w:rsidRPr="000E5903">
              <w:rPr>
                <w:sz w:val="20"/>
                <w:szCs w:val="20"/>
                <w:lang w:val="uk-UA"/>
              </w:rPr>
              <w:t>Власний капітал</w:t>
            </w:r>
          </w:p>
        </w:tc>
        <w:tc>
          <w:tcPr>
            <w:tcW w:w="1560"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4 238 353</w:t>
            </w:r>
          </w:p>
        </w:tc>
        <w:tc>
          <w:tcPr>
            <w:tcW w:w="1417"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3 903 947</w:t>
            </w:r>
          </w:p>
        </w:tc>
      </w:tr>
      <w:tr w:rsidR="000E5903" w:rsidRPr="000E5903" w:rsidTr="00F11359">
        <w:tc>
          <w:tcPr>
            <w:tcW w:w="6345" w:type="dxa"/>
            <w:shd w:val="clear" w:color="auto" w:fill="auto"/>
            <w:vAlign w:val="bottom"/>
          </w:tcPr>
          <w:p w:rsidR="00D15FC8" w:rsidRPr="000E5903" w:rsidRDefault="00D15FC8" w:rsidP="00F11359">
            <w:pPr>
              <w:rPr>
                <w:sz w:val="20"/>
                <w:szCs w:val="20"/>
                <w:lang w:val="uk-UA"/>
              </w:rPr>
            </w:pPr>
            <w:r w:rsidRPr="000E5903">
              <w:rPr>
                <w:sz w:val="20"/>
                <w:szCs w:val="20"/>
                <w:shd w:val="clear" w:color="auto" w:fill="FFFFFF"/>
                <w:lang w:val="uk-UA"/>
              </w:rPr>
              <w:t>Зареєстрований (пайовий/статутний) капітал</w:t>
            </w:r>
          </w:p>
        </w:tc>
        <w:tc>
          <w:tcPr>
            <w:tcW w:w="1560"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110 162</w:t>
            </w:r>
          </w:p>
        </w:tc>
        <w:tc>
          <w:tcPr>
            <w:tcW w:w="1417"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110 162</w:t>
            </w:r>
          </w:p>
        </w:tc>
      </w:tr>
      <w:tr w:rsidR="000E5903" w:rsidRPr="000E5903" w:rsidTr="00F11359">
        <w:tc>
          <w:tcPr>
            <w:tcW w:w="6345" w:type="dxa"/>
            <w:shd w:val="clear" w:color="auto" w:fill="auto"/>
            <w:vAlign w:val="bottom"/>
          </w:tcPr>
          <w:p w:rsidR="00D15FC8" w:rsidRPr="000E5903" w:rsidRDefault="00D15FC8" w:rsidP="00F11359">
            <w:pPr>
              <w:rPr>
                <w:sz w:val="20"/>
                <w:szCs w:val="20"/>
                <w:lang w:val="uk-UA"/>
              </w:rPr>
            </w:pPr>
            <w:r w:rsidRPr="000E5903">
              <w:rPr>
                <w:sz w:val="20"/>
                <w:szCs w:val="20"/>
                <w:shd w:val="clear" w:color="auto" w:fill="FFFFFF"/>
                <w:lang w:val="uk-UA"/>
              </w:rPr>
              <w:t>Довгострокові зобов'язання і забезпечення</w:t>
            </w:r>
          </w:p>
        </w:tc>
        <w:tc>
          <w:tcPr>
            <w:tcW w:w="1560"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1 738 247</w:t>
            </w:r>
          </w:p>
        </w:tc>
        <w:tc>
          <w:tcPr>
            <w:tcW w:w="1417"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1 516 259</w:t>
            </w:r>
          </w:p>
        </w:tc>
      </w:tr>
      <w:tr w:rsidR="000E5903" w:rsidRPr="000E5903" w:rsidTr="00F11359">
        <w:tc>
          <w:tcPr>
            <w:tcW w:w="6345" w:type="dxa"/>
            <w:shd w:val="clear" w:color="auto" w:fill="auto"/>
            <w:vAlign w:val="bottom"/>
          </w:tcPr>
          <w:p w:rsidR="00D15FC8" w:rsidRPr="000E5903" w:rsidRDefault="00D15FC8" w:rsidP="00F11359">
            <w:pPr>
              <w:rPr>
                <w:sz w:val="20"/>
                <w:szCs w:val="20"/>
                <w:lang w:val="uk-UA"/>
              </w:rPr>
            </w:pPr>
            <w:r w:rsidRPr="000E5903">
              <w:rPr>
                <w:sz w:val="20"/>
                <w:szCs w:val="20"/>
                <w:shd w:val="clear" w:color="auto" w:fill="FFFFFF"/>
                <w:lang w:val="uk-UA"/>
              </w:rPr>
              <w:t>Поточні зобов'язання і забезпечення</w:t>
            </w:r>
          </w:p>
        </w:tc>
        <w:tc>
          <w:tcPr>
            <w:tcW w:w="1560"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589 018</w:t>
            </w:r>
          </w:p>
        </w:tc>
        <w:tc>
          <w:tcPr>
            <w:tcW w:w="1417"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564 849</w:t>
            </w:r>
          </w:p>
        </w:tc>
      </w:tr>
      <w:tr w:rsidR="000E5903" w:rsidRPr="000E5903" w:rsidTr="00F11359">
        <w:tc>
          <w:tcPr>
            <w:tcW w:w="6345" w:type="dxa"/>
            <w:shd w:val="clear" w:color="auto" w:fill="auto"/>
            <w:vAlign w:val="bottom"/>
          </w:tcPr>
          <w:p w:rsidR="00D15FC8" w:rsidRPr="000E5903" w:rsidRDefault="00D15FC8" w:rsidP="00F11359">
            <w:pPr>
              <w:rPr>
                <w:sz w:val="20"/>
                <w:szCs w:val="20"/>
                <w:lang w:val="uk-UA"/>
              </w:rPr>
            </w:pPr>
            <w:r w:rsidRPr="000E5903">
              <w:rPr>
                <w:sz w:val="20"/>
                <w:szCs w:val="20"/>
                <w:shd w:val="clear" w:color="auto" w:fill="FFFFFF"/>
                <w:lang w:val="uk-UA"/>
              </w:rPr>
              <w:t>Чистий фінансовий результат: прибуток (збиток)</w:t>
            </w:r>
          </w:p>
        </w:tc>
        <w:tc>
          <w:tcPr>
            <w:tcW w:w="1560"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728 198</w:t>
            </w:r>
          </w:p>
        </w:tc>
        <w:tc>
          <w:tcPr>
            <w:tcW w:w="1417" w:type="dxa"/>
            <w:shd w:val="clear" w:color="auto" w:fill="auto"/>
          </w:tcPr>
          <w:p w:rsidR="00D15FC8" w:rsidRPr="000E5903" w:rsidRDefault="00D15FC8" w:rsidP="00F11359">
            <w:pPr>
              <w:spacing w:line="60" w:lineRule="atLeast"/>
              <w:rPr>
                <w:rFonts w:eastAsiaTheme="minorHAnsi"/>
                <w:sz w:val="20"/>
                <w:szCs w:val="20"/>
                <w:lang w:val="en-US"/>
              </w:rPr>
            </w:pPr>
            <w:r w:rsidRPr="000E5903">
              <w:rPr>
                <w:sz w:val="20"/>
                <w:szCs w:val="20"/>
              </w:rPr>
              <w:t>811 512</w:t>
            </w:r>
          </w:p>
        </w:tc>
      </w:tr>
      <w:tr w:rsidR="000E5903" w:rsidRPr="000E5903" w:rsidTr="00F11359">
        <w:tc>
          <w:tcPr>
            <w:tcW w:w="6345" w:type="dxa"/>
            <w:shd w:val="clear" w:color="auto" w:fill="auto"/>
            <w:vAlign w:val="bottom"/>
          </w:tcPr>
          <w:p w:rsidR="00D15FC8" w:rsidRPr="000E5903" w:rsidRDefault="00D15FC8" w:rsidP="00F11359">
            <w:pPr>
              <w:rPr>
                <w:sz w:val="20"/>
                <w:szCs w:val="20"/>
                <w:lang w:val="uk-UA"/>
              </w:rPr>
            </w:pPr>
            <w:r w:rsidRPr="000E5903">
              <w:rPr>
                <w:sz w:val="20"/>
                <w:szCs w:val="20"/>
                <w:lang w:val="uk-UA"/>
              </w:rPr>
              <w:t>Середньорічна кількість акцій (шт.)</w:t>
            </w:r>
          </w:p>
        </w:tc>
        <w:tc>
          <w:tcPr>
            <w:tcW w:w="1560"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w:t>
            </w:r>
          </w:p>
        </w:tc>
        <w:tc>
          <w:tcPr>
            <w:tcW w:w="1417"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w:t>
            </w:r>
          </w:p>
        </w:tc>
      </w:tr>
      <w:tr w:rsidR="00D15FC8" w:rsidRPr="000E5903" w:rsidTr="00F11359">
        <w:tc>
          <w:tcPr>
            <w:tcW w:w="6345" w:type="dxa"/>
            <w:shd w:val="clear" w:color="auto" w:fill="auto"/>
            <w:vAlign w:val="bottom"/>
          </w:tcPr>
          <w:p w:rsidR="00D15FC8" w:rsidRPr="000E5903" w:rsidRDefault="00D15FC8" w:rsidP="00F11359">
            <w:pPr>
              <w:rPr>
                <w:sz w:val="20"/>
                <w:szCs w:val="20"/>
                <w:lang w:val="uk-UA"/>
              </w:rPr>
            </w:pPr>
            <w:r w:rsidRPr="000E5903">
              <w:rPr>
                <w:sz w:val="20"/>
                <w:szCs w:val="20"/>
                <w:shd w:val="clear" w:color="auto" w:fill="FFFFFF"/>
                <w:lang w:val="uk-UA"/>
              </w:rPr>
              <w:t>Чистий прибуток (збиток) на одну просту акцію (грн)</w:t>
            </w:r>
          </w:p>
        </w:tc>
        <w:tc>
          <w:tcPr>
            <w:tcW w:w="1560"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w:t>
            </w:r>
          </w:p>
        </w:tc>
        <w:tc>
          <w:tcPr>
            <w:tcW w:w="1417" w:type="dxa"/>
            <w:shd w:val="clear" w:color="auto" w:fill="auto"/>
          </w:tcPr>
          <w:p w:rsidR="00D15FC8" w:rsidRPr="000E5903" w:rsidRDefault="00D15FC8" w:rsidP="00F11359">
            <w:pPr>
              <w:spacing w:line="60" w:lineRule="atLeast"/>
              <w:rPr>
                <w:rFonts w:eastAsiaTheme="minorHAnsi"/>
                <w:sz w:val="20"/>
                <w:szCs w:val="20"/>
              </w:rPr>
            </w:pPr>
            <w:r w:rsidRPr="000E5903">
              <w:rPr>
                <w:sz w:val="20"/>
                <w:szCs w:val="20"/>
              </w:rPr>
              <w:t>-</w:t>
            </w:r>
          </w:p>
        </w:tc>
      </w:tr>
    </w:tbl>
    <w:p w:rsidR="00D15FC8" w:rsidRPr="000E5903" w:rsidRDefault="00D15FC8" w:rsidP="00D15FC8">
      <w:pPr>
        <w:jc w:val="both"/>
        <w:rPr>
          <w:rStyle w:val="a5"/>
          <w:sz w:val="20"/>
          <w:szCs w:val="20"/>
          <w:u w:val="single"/>
          <w:shd w:val="clear" w:color="auto" w:fill="FFFFFF"/>
          <w:lang w:val="uk-UA"/>
        </w:rPr>
      </w:pPr>
    </w:p>
    <w:p w:rsidR="00D15FC8" w:rsidRPr="000E5903" w:rsidRDefault="00D15FC8" w:rsidP="00D15FC8">
      <w:pPr>
        <w:jc w:val="both"/>
        <w:rPr>
          <w:sz w:val="20"/>
          <w:szCs w:val="20"/>
        </w:rPr>
      </w:pPr>
      <w:r w:rsidRPr="000E5903">
        <w:rPr>
          <w:rStyle w:val="a5"/>
          <w:sz w:val="20"/>
          <w:szCs w:val="20"/>
          <w:shd w:val="clear" w:color="auto" w:fill="FFFFFF"/>
          <w:lang w:val="uk-UA"/>
        </w:rPr>
        <w:t xml:space="preserve">Інформація про кількість акцій: </w:t>
      </w:r>
      <w:r w:rsidRPr="000E5903">
        <w:rPr>
          <w:sz w:val="20"/>
          <w:szCs w:val="20"/>
          <w:shd w:val="clear" w:color="auto" w:fill="FFFFFF"/>
          <w:lang w:val="uk-UA"/>
        </w:rPr>
        <w:t>Станом на дату складання переліку осіб, яким надсилається повідомлення про проведення Загальних Зборів загальна кількість акцій Товариства складає </w:t>
      </w:r>
      <w:r w:rsidRPr="000E5903">
        <w:rPr>
          <w:sz w:val="20"/>
          <w:szCs w:val="20"/>
          <w:lang w:val="uk-UA"/>
        </w:rPr>
        <w:t xml:space="preserve">1 101 621 </w:t>
      </w:r>
      <w:r w:rsidRPr="000E5903">
        <w:rPr>
          <w:sz w:val="20"/>
          <w:szCs w:val="20"/>
          <w:shd w:val="clear" w:color="auto" w:fill="FFFFFF"/>
          <w:lang w:val="uk-UA"/>
        </w:rPr>
        <w:t>штук простих іменних акцій. Загальна кількість голосуючих акцій складає </w:t>
      </w:r>
      <w:r w:rsidRPr="000E5903">
        <w:rPr>
          <w:rFonts w:eastAsiaTheme="minorHAnsi"/>
          <w:sz w:val="20"/>
          <w:szCs w:val="20"/>
          <w:lang w:eastAsia="en-US"/>
        </w:rPr>
        <w:t>1 101 621</w:t>
      </w:r>
      <w:r w:rsidRPr="000E5903">
        <w:rPr>
          <w:rFonts w:eastAsiaTheme="minorHAnsi"/>
          <w:sz w:val="20"/>
          <w:szCs w:val="20"/>
          <w:lang w:val="uk-UA" w:eastAsia="en-US"/>
        </w:rPr>
        <w:t xml:space="preserve"> </w:t>
      </w:r>
      <w:r w:rsidRPr="000E5903">
        <w:rPr>
          <w:sz w:val="20"/>
          <w:szCs w:val="20"/>
          <w:shd w:val="clear" w:color="auto" w:fill="FFFFFF"/>
          <w:lang w:val="uk-UA"/>
        </w:rPr>
        <w:t> штук простих іменних акцій. Статутний капітал Товариства не представлений двома і більше типам акцій (</w:t>
      </w:r>
      <w:r w:rsidRPr="000E5903">
        <w:rPr>
          <w:snapToGrid w:val="0"/>
          <w:sz w:val="20"/>
          <w:szCs w:val="20"/>
          <w:lang w:val="uk-UA"/>
        </w:rPr>
        <w:t>Товариство не випускало привілейованих акцій</w:t>
      </w:r>
      <w:r w:rsidRPr="000E5903">
        <w:rPr>
          <w:sz w:val="20"/>
          <w:szCs w:val="20"/>
          <w:shd w:val="clear" w:color="auto" w:fill="FFFFFF"/>
          <w:lang w:val="uk-UA"/>
        </w:rPr>
        <w:t>).</w:t>
      </w:r>
    </w:p>
    <w:p w:rsidR="00D15FC8" w:rsidRPr="000E5903" w:rsidRDefault="00D15FC8" w:rsidP="00D15FC8">
      <w:pPr>
        <w:shd w:val="clear" w:color="auto" w:fill="FFFFFF"/>
        <w:spacing w:before="100" w:beforeAutospacing="1" w:after="100" w:afterAutospacing="1"/>
        <w:contextualSpacing/>
        <w:jc w:val="both"/>
        <w:rPr>
          <w:sz w:val="20"/>
          <w:szCs w:val="20"/>
          <w:lang w:val="uk-UA" w:eastAsia="uk-UA"/>
        </w:rPr>
      </w:pPr>
    </w:p>
    <w:p w:rsidR="00D15FC8" w:rsidRPr="000E5903" w:rsidRDefault="00D15FC8" w:rsidP="00D15FC8">
      <w:pPr>
        <w:shd w:val="clear" w:color="auto" w:fill="FFFFFF"/>
        <w:spacing w:before="100" w:beforeAutospacing="1" w:after="100" w:afterAutospacing="1"/>
        <w:contextualSpacing/>
        <w:jc w:val="both"/>
        <w:rPr>
          <w:sz w:val="20"/>
          <w:szCs w:val="20"/>
          <w:lang w:val="uk-UA" w:eastAsia="uk-UA"/>
        </w:rPr>
      </w:pPr>
      <w:r w:rsidRPr="000E5903">
        <w:rPr>
          <w:b/>
          <w:sz w:val="20"/>
          <w:szCs w:val="20"/>
          <w:lang w:val="uk-UA" w:eastAsia="uk-UA"/>
        </w:rPr>
        <w:t>Права, надані акціонерам відповідно до вимог статей 36 та 38 Закону України «Про акціонерні товариства», якими вони можуть користуватися після отримання повідомлення про проведення загальних зборів, а також строк, протягом якого такі права можуть використовуватися</w:t>
      </w:r>
      <w:r w:rsidRPr="000E5903">
        <w:rPr>
          <w:sz w:val="20"/>
          <w:szCs w:val="20"/>
          <w:lang w:val="uk-UA" w:eastAsia="uk-UA"/>
        </w:rPr>
        <w:t xml:space="preserve">:  </w:t>
      </w:r>
    </w:p>
    <w:p w:rsidR="00D15FC8" w:rsidRPr="000E5903" w:rsidRDefault="000E5903" w:rsidP="00D15FC8">
      <w:pPr>
        <w:shd w:val="clear" w:color="auto" w:fill="FFFFFF"/>
        <w:spacing w:before="100" w:beforeAutospacing="1" w:after="100" w:afterAutospacing="1"/>
        <w:contextualSpacing/>
        <w:jc w:val="both"/>
        <w:rPr>
          <w:sz w:val="20"/>
          <w:szCs w:val="20"/>
          <w:lang w:val="uk-UA" w:eastAsia="uk-UA"/>
        </w:rPr>
      </w:pPr>
      <w:hyperlink r:id="rId7" w:tgtFrame="_top" w:history="1">
        <w:r w:rsidR="00D15FC8" w:rsidRPr="000E5903">
          <w:rPr>
            <w:rStyle w:val="a4"/>
            <w:color w:val="auto"/>
            <w:sz w:val="20"/>
            <w:szCs w:val="20"/>
            <w:u w:val="none"/>
            <w:shd w:val="clear" w:color="auto" w:fill="FFFFFF"/>
            <w:lang w:val="uk-UA"/>
          </w:rPr>
          <w:t>Акціонерне товариство до початку загальних зборів у встановленому ним порядку зобов'язане надавати письмові відповіді на письмові запитання акціонерів щодо питань, включених до проекту порядку денного загальних зборів та порядку денного загальних зборів до дати проведення загальних зборів. Акціонерне товариство може надати одну загальну відповідь на всі запитання однакового змісту.</w:t>
        </w:r>
      </w:hyperlink>
    </w:p>
    <w:p w:rsidR="00D15FC8" w:rsidRPr="000E5903" w:rsidRDefault="000E5903" w:rsidP="00D15FC8">
      <w:pPr>
        <w:shd w:val="clear" w:color="auto" w:fill="FFFFFF"/>
        <w:spacing w:before="100" w:beforeAutospacing="1" w:after="100" w:afterAutospacing="1"/>
        <w:contextualSpacing/>
        <w:jc w:val="both"/>
        <w:rPr>
          <w:sz w:val="20"/>
          <w:szCs w:val="20"/>
          <w:lang w:val="uk-UA"/>
        </w:rPr>
      </w:pPr>
      <w:hyperlink r:id="rId8" w:tgtFrame="_top" w:history="1">
        <w:r w:rsidR="00D15FC8" w:rsidRPr="000E5903">
          <w:rPr>
            <w:rStyle w:val="a4"/>
            <w:color w:val="auto"/>
            <w:sz w:val="20"/>
            <w:szCs w:val="20"/>
            <w:u w:val="none"/>
            <w:shd w:val="clear" w:color="auto" w:fill="FFFFFF"/>
            <w:lang w:val="uk-UA"/>
          </w:rPr>
          <w:t xml:space="preserve">Кожний акціонер має право </w:t>
        </w:r>
        <w:proofErr w:type="spellStart"/>
        <w:r w:rsidR="00D15FC8" w:rsidRPr="000E5903">
          <w:rPr>
            <w:rStyle w:val="a4"/>
            <w:color w:val="auto"/>
            <w:sz w:val="20"/>
            <w:szCs w:val="20"/>
            <w:u w:val="none"/>
            <w:shd w:val="clear" w:color="auto" w:fill="FFFFFF"/>
            <w:lang w:val="uk-UA"/>
          </w:rPr>
          <w:t>внести</w:t>
        </w:r>
        <w:proofErr w:type="spellEnd"/>
        <w:r w:rsidR="00D15FC8" w:rsidRPr="000E5903">
          <w:rPr>
            <w:rStyle w:val="a4"/>
            <w:color w:val="auto"/>
            <w:sz w:val="20"/>
            <w:szCs w:val="20"/>
            <w:u w:val="none"/>
            <w:shd w:val="clear" w:color="auto" w:fill="FFFFFF"/>
            <w:lang w:val="uk-UA"/>
          </w:rPr>
          <w:t xml:space="preserve"> пропозиції щодо питань, включених до проекту порядку денного загальних зборів акціонерного товариства, а також щодо нових кандидатів до складу органів товариства, кількість яких не може перевищувати кількісного складу кожного з органів.</w:t>
        </w:r>
      </w:hyperlink>
      <w:r w:rsidR="00D15FC8" w:rsidRPr="000E5903">
        <w:rPr>
          <w:sz w:val="20"/>
          <w:szCs w:val="20"/>
          <w:lang w:val="uk-UA"/>
        </w:rPr>
        <w:t xml:space="preserve"> </w:t>
      </w:r>
      <w:hyperlink r:id="rId9" w:tgtFrame="_top" w:history="1">
        <w:r w:rsidR="00D15FC8" w:rsidRPr="000E5903">
          <w:rPr>
            <w:rStyle w:val="a4"/>
            <w:color w:val="auto"/>
            <w:sz w:val="20"/>
            <w:szCs w:val="20"/>
            <w:u w:val="none"/>
            <w:shd w:val="clear" w:color="auto" w:fill="FFFFFF"/>
            <w:lang w:val="uk-UA"/>
          </w:rPr>
          <w:t>Пропозиції вносяться не пізніше ніж за 20 днів до дати проведення загальних зборів акціонерного товариства, а щодо кандидатів до складу органів товариства - не пізніше ніж за сім днів до дати проведення загальних зборів.</w:t>
        </w:r>
      </w:hyperlink>
      <w:r w:rsidR="00D15FC8" w:rsidRPr="000E5903">
        <w:rPr>
          <w:sz w:val="20"/>
          <w:szCs w:val="20"/>
          <w:shd w:val="clear" w:color="auto" w:fill="FFFFFF"/>
          <w:lang w:val="uk-UA"/>
        </w:rPr>
        <w:t> </w:t>
      </w:r>
      <w:hyperlink r:id="rId10" w:tgtFrame="_top" w:history="1">
        <w:r w:rsidR="00D15FC8" w:rsidRPr="000E5903">
          <w:rPr>
            <w:rStyle w:val="a4"/>
            <w:color w:val="auto"/>
            <w:sz w:val="20"/>
            <w:szCs w:val="20"/>
            <w:u w:val="none"/>
            <w:shd w:val="clear" w:color="auto" w:fill="FFFFFF"/>
            <w:lang w:val="uk-UA"/>
          </w:rPr>
          <w:t>Пропозиції щодо включення нових питань до проекту порядку денного повинні містити відповідні проекти рішень з цих питань.</w:t>
        </w:r>
      </w:hyperlink>
      <w:r w:rsidR="00D15FC8" w:rsidRPr="000E5903">
        <w:rPr>
          <w:sz w:val="20"/>
          <w:szCs w:val="20"/>
          <w:shd w:val="clear" w:color="auto" w:fill="FFFFFF"/>
          <w:lang w:val="uk-UA"/>
        </w:rPr>
        <w:t> </w:t>
      </w:r>
      <w:hyperlink r:id="rId11" w:tgtFrame="_top" w:history="1">
        <w:r w:rsidR="00D15FC8" w:rsidRPr="000E5903">
          <w:rPr>
            <w:rStyle w:val="a4"/>
            <w:color w:val="auto"/>
            <w:sz w:val="20"/>
            <w:szCs w:val="20"/>
            <w:u w:val="none"/>
            <w:shd w:val="clear" w:color="auto" w:fill="FFFFFF"/>
            <w:lang w:val="uk-UA"/>
          </w:rPr>
          <w:t>Пропозиції щодо кандидатів у члени наглядової ради акціонерного товариства мають містити інформацію про те, чи є запропонований кандидат представником акціонера (акціонерів), або про те, що кандидат пропонується на посаду члена наглядової ради - незалежного директора.</w:t>
        </w:r>
      </w:hyperlink>
      <w:r w:rsidR="00D15FC8" w:rsidRPr="000E5903">
        <w:rPr>
          <w:sz w:val="20"/>
          <w:szCs w:val="20"/>
          <w:shd w:val="clear" w:color="auto" w:fill="FFFFFF"/>
          <w:lang w:val="uk-UA"/>
        </w:rPr>
        <w:t xml:space="preserve"> Пропозиція до </w:t>
      </w:r>
      <w:hyperlink r:id="rId12" w:tgtFrame="_top" w:history="1">
        <w:r w:rsidR="00D15FC8" w:rsidRPr="000E5903">
          <w:rPr>
            <w:rStyle w:val="a4"/>
            <w:color w:val="auto"/>
            <w:sz w:val="20"/>
            <w:szCs w:val="20"/>
            <w:u w:val="none"/>
            <w:shd w:val="clear" w:color="auto" w:fill="FFFFFF"/>
            <w:lang w:val="uk-UA"/>
          </w:rPr>
          <w:t>проекту порядку денного</w:t>
        </w:r>
      </w:hyperlink>
      <w:r w:rsidR="00D15FC8" w:rsidRPr="000E5903">
        <w:rPr>
          <w:sz w:val="20"/>
          <w:szCs w:val="20"/>
          <w:shd w:val="clear" w:color="auto" w:fill="FFFFFF"/>
          <w:lang w:val="uk-UA"/>
        </w:rPr>
        <w:t xml:space="preserve"> загальних зборів акціонерного товариства подається в письмовій формі із зазначенням прізвища (найменування) акціонера, який її вносить, кількості, типу та/або класу належних йому акцій, змісту пропозиції до питання та/або проекту рішення, а також кількості, типу та/або класу акцій, що належать кандидату, який пропонується цим акціонером до складу органів товариства. Пропозиції акціонерів (акціонера), які сукупно є власниками 5 або більше відсотків  </w:t>
      </w:r>
      <w:hyperlink r:id="rId13" w:tgtFrame="_top" w:history="1">
        <w:r w:rsidR="00D15FC8" w:rsidRPr="000E5903">
          <w:rPr>
            <w:rStyle w:val="a4"/>
            <w:color w:val="auto"/>
            <w:sz w:val="20"/>
            <w:szCs w:val="20"/>
            <w:u w:val="none"/>
            <w:shd w:val="clear" w:color="auto" w:fill="FFFFFF"/>
            <w:lang w:val="uk-UA"/>
          </w:rPr>
          <w:t>голосуючих</w:t>
        </w:r>
      </w:hyperlink>
      <w:r w:rsidR="00D15FC8" w:rsidRPr="000E5903">
        <w:rPr>
          <w:sz w:val="20"/>
          <w:szCs w:val="20"/>
          <w:shd w:val="clear" w:color="auto" w:fill="FFFFFF"/>
          <w:lang w:val="uk-UA"/>
        </w:rPr>
        <w:t> акцій, підлягають обов'язковому включенню до </w:t>
      </w:r>
      <w:hyperlink r:id="rId14" w:tgtFrame="_top" w:history="1">
        <w:r w:rsidR="00D15FC8" w:rsidRPr="000E5903">
          <w:rPr>
            <w:rStyle w:val="a4"/>
            <w:color w:val="auto"/>
            <w:sz w:val="20"/>
            <w:szCs w:val="20"/>
            <w:u w:val="none"/>
            <w:shd w:val="clear" w:color="auto" w:fill="FFFFFF"/>
            <w:lang w:val="uk-UA"/>
          </w:rPr>
          <w:t>проекту порядку денного</w:t>
        </w:r>
      </w:hyperlink>
      <w:r w:rsidR="00D15FC8" w:rsidRPr="000E5903">
        <w:rPr>
          <w:sz w:val="20"/>
          <w:szCs w:val="20"/>
          <w:lang w:val="uk-UA"/>
        </w:rPr>
        <w:t xml:space="preserve"> </w:t>
      </w:r>
      <w:r w:rsidR="00D15FC8" w:rsidRPr="000E5903">
        <w:rPr>
          <w:sz w:val="20"/>
          <w:szCs w:val="20"/>
          <w:shd w:val="clear" w:color="auto" w:fill="FFFFFF"/>
          <w:lang w:val="uk-UA"/>
        </w:rPr>
        <w:t>загальних зборів. У такому разі рішення наглядової ради про включення питання до </w:t>
      </w:r>
      <w:hyperlink r:id="rId15" w:tgtFrame="_top" w:history="1">
        <w:r w:rsidR="00D15FC8" w:rsidRPr="000E5903">
          <w:rPr>
            <w:rStyle w:val="a4"/>
            <w:color w:val="auto"/>
            <w:sz w:val="20"/>
            <w:szCs w:val="20"/>
            <w:u w:val="none"/>
            <w:shd w:val="clear" w:color="auto" w:fill="FFFFFF"/>
            <w:lang w:val="uk-UA"/>
          </w:rPr>
          <w:t>проекту порядку денного</w:t>
        </w:r>
      </w:hyperlink>
      <w:r w:rsidR="00D15FC8" w:rsidRPr="000E5903">
        <w:rPr>
          <w:sz w:val="20"/>
          <w:szCs w:val="20"/>
          <w:shd w:val="clear" w:color="auto" w:fill="FFFFFF"/>
          <w:lang w:val="uk-UA"/>
        </w:rPr>
        <w:t> не вимагається, а пропозиція вважається включеною до </w:t>
      </w:r>
      <w:hyperlink r:id="rId16" w:tgtFrame="_top" w:history="1">
        <w:r w:rsidR="00D15FC8" w:rsidRPr="000E5903">
          <w:rPr>
            <w:rStyle w:val="a4"/>
            <w:color w:val="auto"/>
            <w:sz w:val="20"/>
            <w:szCs w:val="20"/>
            <w:u w:val="none"/>
            <w:shd w:val="clear" w:color="auto" w:fill="FFFFFF"/>
            <w:lang w:val="uk-UA"/>
          </w:rPr>
          <w:t>проекту порядку денного</w:t>
        </w:r>
      </w:hyperlink>
      <w:r w:rsidR="00D15FC8" w:rsidRPr="000E5903">
        <w:rPr>
          <w:sz w:val="20"/>
          <w:szCs w:val="20"/>
          <w:shd w:val="clear" w:color="auto" w:fill="FFFFFF"/>
          <w:lang w:val="uk-UA"/>
        </w:rPr>
        <w:t xml:space="preserve">, якщо вона подана з дотриманням вимог </w:t>
      </w:r>
      <w:r w:rsidR="00D15FC8" w:rsidRPr="000E5903">
        <w:rPr>
          <w:sz w:val="20"/>
          <w:szCs w:val="20"/>
          <w:lang w:val="uk-UA" w:eastAsia="uk-UA"/>
        </w:rPr>
        <w:t xml:space="preserve">статті 38 Закону України «Про акціонерні товариства». </w:t>
      </w:r>
      <w:hyperlink r:id="rId17" w:tgtFrame="_top" w:history="1">
        <w:r w:rsidR="00D15FC8" w:rsidRPr="000E5903">
          <w:rPr>
            <w:rStyle w:val="a4"/>
            <w:color w:val="auto"/>
            <w:sz w:val="20"/>
            <w:szCs w:val="20"/>
            <w:u w:val="none"/>
            <w:shd w:val="clear" w:color="auto" w:fill="FFFFFF"/>
            <w:lang w:val="uk-UA"/>
          </w:rPr>
          <w:t>У разі подання акціонером пропозиції до проекту порядку денного загальних зборів щодо дострокового припинення повноважень голови колегіального виконавчого органу (особи, яка здійснює повноваження одноосібного виконавчого органу) одночасно обов'язково подається пропозиція щодо кандидатури для обрання голови колегіального виконавчого органу акціонерного товариства (особи, яка здійснює повноваження одноосібного виконавчого органу) або призначення особи, яка тимчасово здійснюватиме його повноваження.</w:t>
        </w:r>
      </w:hyperlink>
      <w:r w:rsidR="00D15FC8" w:rsidRPr="000E5903">
        <w:rPr>
          <w:sz w:val="20"/>
          <w:szCs w:val="20"/>
          <w:lang w:val="uk-UA"/>
        </w:rPr>
        <w:t xml:space="preserve"> </w:t>
      </w:r>
      <w:hyperlink r:id="rId18" w:tgtFrame="_top" w:history="1">
        <w:r w:rsidR="00D15FC8" w:rsidRPr="000E5903">
          <w:rPr>
            <w:rStyle w:val="a4"/>
            <w:color w:val="auto"/>
            <w:sz w:val="20"/>
            <w:szCs w:val="20"/>
            <w:u w:val="none"/>
            <w:shd w:val="clear" w:color="auto" w:fill="FFFFFF"/>
            <w:lang w:val="uk-UA"/>
          </w:rPr>
          <w:t>Зміни до</w:t>
        </w:r>
      </w:hyperlink>
      <w:r w:rsidR="00D15FC8" w:rsidRPr="000E5903">
        <w:rPr>
          <w:sz w:val="20"/>
          <w:szCs w:val="20"/>
          <w:shd w:val="clear" w:color="auto" w:fill="FFFFFF"/>
          <w:lang w:val="uk-UA"/>
        </w:rPr>
        <w:t> </w:t>
      </w:r>
      <w:hyperlink r:id="rId19" w:tgtFrame="_top" w:history="1">
        <w:r w:rsidR="00D15FC8" w:rsidRPr="000E5903">
          <w:rPr>
            <w:rStyle w:val="a4"/>
            <w:color w:val="auto"/>
            <w:sz w:val="20"/>
            <w:szCs w:val="20"/>
            <w:u w:val="none"/>
            <w:shd w:val="clear" w:color="auto" w:fill="FFFFFF"/>
            <w:lang w:val="uk-UA"/>
          </w:rPr>
          <w:t>проекту порядку денного</w:t>
        </w:r>
      </w:hyperlink>
      <w:r w:rsidR="00D15FC8" w:rsidRPr="000E5903">
        <w:rPr>
          <w:sz w:val="20"/>
          <w:szCs w:val="20"/>
          <w:shd w:val="clear" w:color="auto" w:fill="FFFFFF"/>
          <w:lang w:val="uk-UA"/>
        </w:rPr>
        <w:t> </w:t>
      </w:r>
      <w:hyperlink r:id="rId20" w:tgtFrame="_top" w:history="1">
        <w:r w:rsidR="00D15FC8" w:rsidRPr="000E5903">
          <w:rPr>
            <w:rStyle w:val="a4"/>
            <w:color w:val="auto"/>
            <w:sz w:val="20"/>
            <w:szCs w:val="20"/>
            <w:u w:val="none"/>
            <w:shd w:val="clear" w:color="auto" w:fill="FFFFFF"/>
            <w:lang w:val="uk-UA"/>
          </w:rPr>
          <w:t>загальних зборів вносяться лише шляхом включення нових питань та проектів рішень із запропонованих питань. Товариство не має права вносити зміни до запропонованих акціонерами питань або проектів рішень.</w:t>
        </w:r>
      </w:hyperlink>
      <w:r w:rsidR="00D15FC8" w:rsidRPr="000E5903">
        <w:rPr>
          <w:sz w:val="20"/>
          <w:szCs w:val="20"/>
          <w:lang w:val="uk-UA"/>
        </w:rPr>
        <w:t xml:space="preserve"> </w:t>
      </w:r>
      <w:hyperlink r:id="rId21" w:tgtFrame="_top" w:history="1">
        <w:r w:rsidR="00D15FC8" w:rsidRPr="000E5903">
          <w:rPr>
            <w:rStyle w:val="a4"/>
            <w:color w:val="auto"/>
            <w:sz w:val="20"/>
            <w:szCs w:val="20"/>
            <w:u w:val="none"/>
            <w:shd w:val="clear" w:color="auto" w:fill="FFFFFF"/>
            <w:lang w:val="uk-UA"/>
          </w:rPr>
          <w:t>Рішення про відмову у включенні до</w:t>
        </w:r>
      </w:hyperlink>
      <w:r w:rsidR="00D15FC8" w:rsidRPr="000E5903">
        <w:rPr>
          <w:sz w:val="20"/>
          <w:szCs w:val="20"/>
          <w:shd w:val="clear" w:color="auto" w:fill="FFFFFF"/>
          <w:lang w:val="uk-UA"/>
        </w:rPr>
        <w:t> </w:t>
      </w:r>
      <w:hyperlink r:id="rId22" w:tgtFrame="_top" w:history="1">
        <w:r w:rsidR="00D15FC8" w:rsidRPr="000E5903">
          <w:rPr>
            <w:rStyle w:val="a4"/>
            <w:color w:val="auto"/>
            <w:sz w:val="20"/>
            <w:szCs w:val="20"/>
            <w:u w:val="none"/>
            <w:shd w:val="clear" w:color="auto" w:fill="FFFFFF"/>
            <w:lang w:val="uk-UA"/>
          </w:rPr>
          <w:t>проекту порядку денного</w:t>
        </w:r>
      </w:hyperlink>
      <w:r w:rsidR="00D15FC8" w:rsidRPr="000E5903">
        <w:rPr>
          <w:sz w:val="20"/>
          <w:szCs w:val="20"/>
          <w:shd w:val="clear" w:color="auto" w:fill="FFFFFF"/>
          <w:lang w:val="uk-UA"/>
        </w:rPr>
        <w:t> </w:t>
      </w:r>
      <w:hyperlink r:id="rId23" w:tgtFrame="_top" w:history="1">
        <w:r w:rsidR="00D15FC8" w:rsidRPr="000E5903">
          <w:rPr>
            <w:rStyle w:val="a4"/>
            <w:color w:val="auto"/>
            <w:sz w:val="20"/>
            <w:szCs w:val="20"/>
            <w:u w:val="none"/>
            <w:shd w:val="clear" w:color="auto" w:fill="FFFFFF"/>
            <w:lang w:val="uk-UA"/>
          </w:rPr>
          <w:t>загальних зборів акціонерного товариства пропозиції акціонерів (акціонера), які сукупно є власниками 5 або більше відсотків</w:t>
        </w:r>
      </w:hyperlink>
      <w:r w:rsidR="00D15FC8" w:rsidRPr="000E5903">
        <w:rPr>
          <w:sz w:val="20"/>
          <w:szCs w:val="20"/>
          <w:shd w:val="clear" w:color="auto" w:fill="FFFFFF"/>
          <w:lang w:val="uk-UA"/>
        </w:rPr>
        <w:t xml:space="preserve">  </w:t>
      </w:r>
      <w:hyperlink r:id="rId24" w:tgtFrame="_top" w:history="1">
        <w:r w:rsidR="00D15FC8" w:rsidRPr="000E5903">
          <w:rPr>
            <w:rStyle w:val="a4"/>
            <w:color w:val="auto"/>
            <w:sz w:val="20"/>
            <w:szCs w:val="20"/>
            <w:u w:val="none"/>
            <w:shd w:val="clear" w:color="auto" w:fill="FFFFFF"/>
            <w:lang w:val="uk-UA"/>
          </w:rPr>
          <w:t>голосуючих</w:t>
        </w:r>
      </w:hyperlink>
      <w:r w:rsidR="00D15FC8" w:rsidRPr="000E5903">
        <w:rPr>
          <w:sz w:val="20"/>
          <w:szCs w:val="20"/>
          <w:shd w:val="clear" w:color="auto" w:fill="FFFFFF"/>
          <w:lang w:val="uk-UA"/>
        </w:rPr>
        <w:t> </w:t>
      </w:r>
      <w:hyperlink r:id="rId25" w:tgtFrame="_top" w:history="1">
        <w:r w:rsidR="00D15FC8" w:rsidRPr="000E5903">
          <w:rPr>
            <w:rStyle w:val="a4"/>
            <w:color w:val="auto"/>
            <w:sz w:val="20"/>
            <w:szCs w:val="20"/>
            <w:u w:val="none"/>
            <w:shd w:val="clear" w:color="auto" w:fill="FFFFFF"/>
            <w:lang w:val="uk-UA"/>
          </w:rPr>
          <w:t>акцій</w:t>
        </w:r>
      </w:hyperlink>
      <w:hyperlink r:id="rId26" w:tgtFrame="_top" w:history="1">
        <w:r w:rsidR="00D15FC8" w:rsidRPr="000E5903">
          <w:rPr>
            <w:rStyle w:val="a4"/>
            <w:color w:val="auto"/>
            <w:sz w:val="20"/>
            <w:szCs w:val="20"/>
            <w:u w:val="none"/>
            <w:shd w:val="clear" w:color="auto" w:fill="FFFFFF"/>
            <w:lang w:val="uk-UA"/>
          </w:rPr>
          <w:t>, а також пропозиції комітету при наглядовій раді публічного акціонерного товариства з питань призначень незалежних директорів</w:t>
        </w:r>
      </w:hyperlink>
      <w:hyperlink r:id="rId27" w:tgtFrame="_top" w:history="1">
        <w:r w:rsidR="00D15FC8" w:rsidRPr="000E5903">
          <w:rPr>
            <w:rStyle w:val="a4"/>
            <w:color w:val="auto"/>
            <w:sz w:val="20"/>
            <w:szCs w:val="20"/>
            <w:u w:val="none"/>
            <w:shd w:val="clear" w:color="auto" w:fill="FFFFFF"/>
            <w:lang w:val="uk-UA"/>
          </w:rPr>
          <w:t>, може бути прийнято тільки у разі:</w:t>
        </w:r>
      </w:hyperlink>
      <w:r w:rsidR="00D15FC8" w:rsidRPr="000E5903">
        <w:rPr>
          <w:sz w:val="20"/>
          <w:szCs w:val="20"/>
          <w:lang w:val="uk-UA"/>
        </w:rPr>
        <w:t xml:space="preserve"> </w:t>
      </w:r>
      <w:hyperlink r:id="rId28" w:tgtFrame="_top" w:history="1">
        <w:r w:rsidR="00D15FC8" w:rsidRPr="000E5903">
          <w:rPr>
            <w:rStyle w:val="a4"/>
            <w:color w:val="auto"/>
            <w:sz w:val="20"/>
            <w:szCs w:val="20"/>
            <w:u w:val="none"/>
            <w:shd w:val="clear" w:color="auto" w:fill="FFFFFF"/>
            <w:lang w:val="uk-UA"/>
          </w:rPr>
          <w:t>недотримання акціонерами строку, встановленого</w:t>
        </w:r>
      </w:hyperlink>
      <w:r w:rsidR="00D15FC8" w:rsidRPr="000E5903">
        <w:rPr>
          <w:sz w:val="20"/>
          <w:szCs w:val="20"/>
          <w:shd w:val="clear" w:color="auto" w:fill="FFFFFF"/>
          <w:lang w:val="uk-UA"/>
        </w:rPr>
        <w:t> </w:t>
      </w:r>
      <w:hyperlink r:id="rId29" w:tgtFrame="_top" w:history="1">
        <w:r w:rsidR="00D15FC8" w:rsidRPr="000E5903">
          <w:rPr>
            <w:rStyle w:val="a4"/>
            <w:color w:val="auto"/>
            <w:sz w:val="20"/>
            <w:szCs w:val="20"/>
            <w:u w:val="none"/>
            <w:shd w:val="clear" w:color="auto" w:fill="FFFFFF"/>
            <w:lang w:val="uk-UA"/>
          </w:rPr>
          <w:t>абзацом першим частини другої</w:t>
        </w:r>
      </w:hyperlink>
      <w:r w:rsidR="00D15FC8" w:rsidRPr="000E5903">
        <w:rPr>
          <w:sz w:val="20"/>
          <w:szCs w:val="20"/>
          <w:lang w:val="uk-UA"/>
        </w:rPr>
        <w:t xml:space="preserve"> </w:t>
      </w:r>
      <w:hyperlink r:id="rId30" w:tgtFrame="_top" w:history="1">
        <w:r w:rsidR="00D15FC8" w:rsidRPr="000E5903">
          <w:rPr>
            <w:rStyle w:val="a4"/>
            <w:color w:val="auto"/>
            <w:sz w:val="20"/>
            <w:szCs w:val="20"/>
            <w:u w:val="none"/>
            <w:lang w:val="uk-UA" w:eastAsia="uk-UA"/>
          </w:rPr>
          <w:t>38 Закону України «Про акціонерні товариства»</w:t>
        </w:r>
        <w:r w:rsidR="00D15FC8" w:rsidRPr="000E5903">
          <w:rPr>
            <w:rStyle w:val="a4"/>
            <w:color w:val="auto"/>
            <w:sz w:val="20"/>
            <w:szCs w:val="20"/>
            <w:u w:val="none"/>
            <w:shd w:val="clear" w:color="auto" w:fill="FFFFFF"/>
            <w:lang w:val="uk-UA"/>
          </w:rPr>
          <w:t>;</w:t>
        </w:r>
      </w:hyperlink>
      <w:r w:rsidR="00D15FC8" w:rsidRPr="000E5903">
        <w:rPr>
          <w:sz w:val="20"/>
          <w:szCs w:val="20"/>
          <w:lang w:val="uk-UA" w:eastAsia="uk-UA"/>
        </w:rPr>
        <w:t xml:space="preserve"> неповноти даних, передбачених абзацом першим частини другої або частиною третьою статті 38 Закону України «Про акціонерні товариства».</w:t>
      </w:r>
      <w:r w:rsidR="00D15FC8" w:rsidRPr="000E5903">
        <w:rPr>
          <w:sz w:val="20"/>
          <w:szCs w:val="20"/>
          <w:lang w:val="uk-UA"/>
        </w:rPr>
        <w:t xml:space="preserve"> </w:t>
      </w:r>
      <w:hyperlink r:id="rId31" w:tgtFrame="_top" w:history="1">
        <w:r w:rsidR="00D15FC8" w:rsidRPr="000E5903">
          <w:rPr>
            <w:rStyle w:val="a4"/>
            <w:color w:val="auto"/>
            <w:sz w:val="20"/>
            <w:szCs w:val="20"/>
            <w:u w:val="none"/>
            <w:shd w:val="clear" w:color="auto" w:fill="FFFFFF"/>
            <w:lang w:val="uk-UA"/>
          </w:rPr>
          <w:t xml:space="preserve">Рішення про відмову у включенні до проекту порядку денного загальних зборів акціонерного товариства пропозицій акціонерів (акціонера), яким належать менше 5 відсотків голосуючих акцій, може бути прийнято з підстав, передбачених абзацом другим та/або третім </w:t>
        </w:r>
        <w:r w:rsidR="00D15FC8" w:rsidRPr="000E5903">
          <w:rPr>
            <w:rStyle w:val="a4"/>
            <w:color w:val="auto"/>
            <w:sz w:val="20"/>
            <w:szCs w:val="20"/>
            <w:u w:val="none"/>
            <w:lang w:val="uk-UA" w:eastAsia="uk-UA"/>
          </w:rPr>
          <w:t>частини шостої статті 38 Закону України «Про акціонерні товариства»</w:t>
        </w:r>
        <w:r w:rsidR="00D15FC8" w:rsidRPr="000E5903">
          <w:rPr>
            <w:rStyle w:val="a4"/>
            <w:color w:val="auto"/>
            <w:sz w:val="20"/>
            <w:szCs w:val="20"/>
            <w:u w:val="none"/>
            <w:shd w:val="clear" w:color="auto" w:fill="FFFFFF"/>
            <w:lang w:val="uk-UA"/>
          </w:rPr>
          <w:t>, у разі неподання акціонерами жодного проекту рішення із запропонованих ними питань порядку денного та з інших підстав, визначених статутом акціонерного товариства та/або положенням про загальні збори акціонерного товариства.</w:t>
        </w:r>
      </w:hyperlink>
      <w:r w:rsidR="00D15FC8" w:rsidRPr="000E5903">
        <w:rPr>
          <w:sz w:val="20"/>
          <w:szCs w:val="20"/>
          <w:lang w:val="uk-UA"/>
        </w:rPr>
        <w:t xml:space="preserve"> </w:t>
      </w:r>
      <w:r w:rsidR="00D15FC8" w:rsidRPr="000E5903">
        <w:rPr>
          <w:sz w:val="20"/>
          <w:szCs w:val="20"/>
          <w:shd w:val="clear" w:color="auto" w:fill="FFFFFF"/>
          <w:lang w:val="uk-UA"/>
        </w:rPr>
        <w:t>Мотивоване рішення про відмову у включенні пропозиції до </w:t>
      </w:r>
      <w:hyperlink r:id="rId32" w:tgtFrame="_top" w:history="1">
        <w:r w:rsidR="00D15FC8" w:rsidRPr="000E5903">
          <w:rPr>
            <w:rStyle w:val="a4"/>
            <w:color w:val="auto"/>
            <w:sz w:val="20"/>
            <w:szCs w:val="20"/>
            <w:u w:val="none"/>
            <w:shd w:val="clear" w:color="auto" w:fill="FFFFFF"/>
            <w:lang w:val="uk-UA"/>
          </w:rPr>
          <w:t>проекту порядку денного</w:t>
        </w:r>
      </w:hyperlink>
      <w:r w:rsidR="00D15FC8" w:rsidRPr="000E5903">
        <w:rPr>
          <w:sz w:val="20"/>
          <w:szCs w:val="20"/>
          <w:shd w:val="clear" w:color="auto" w:fill="FFFFFF"/>
          <w:lang w:val="uk-UA"/>
        </w:rPr>
        <w:t> загальних зборів акціонерного товариства надсилається наглядовою радою акціонеру протягом трьох днів з моменту його прийняття.</w:t>
      </w:r>
      <w:r w:rsidR="00D15FC8" w:rsidRPr="000E5903">
        <w:rPr>
          <w:sz w:val="20"/>
          <w:szCs w:val="20"/>
          <w:lang w:val="uk-UA"/>
        </w:rPr>
        <w:t xml:space="preserve"> </w:t>
      </w:r>
      <w:hyperlink r:id="rId33" w:tgtFrame="_top" w:history="1">
        <w:r w:rsidR="00D15FC8" w:rsidRPr="000E5903">
          <w:rPr>
            <w:rStyle w:val="a4"/>
            <w:color w:val="auto"/>
            <w:sz w:val="20"/>
            <w:szCs w:val="20"/>
            <w:u w:val="none"/>
            <w:shd w:val="clear" w:color="auto" w:fill="FFFFFF"/>
            <w:lang w:val="uk-UA"/>
          </w:rPr>
          <w:t>У разі внесення змін до проекту порядку денного загальних зборів акціонерне товариство не пізніше ніж за 10 днів до дати проведення загальних зборів повідомляє акціонерів про такі зміни та направляє/вручає порядок денний, а також проекти рішень, що додаються на підставі пропозицій акціонерів.</w:t>
        </w:r>
      </w:hyperlink>
      <w:r w:rsidR="00D15FC8" w:rsidRPr="000E5903">
        <w:rPr>
          <w:sz w:val="20"/>
          <w:szCs w:val="20"/>
          <w:shd w:val="clear" w:color="auto" w:fill="FFFFFF"/>
          <w:lang w:val="uk-UA"/>
        </w:rPr>
        <w:t xml:space="preserve"> Оскарження акціонером рішення товариства про відмову у включенні його пропозицій до </w:t>
      </w:r>
      <w:hyperlink r:id="rId34" w:tgtFrame="_top" w:history="1">
        <w:r w:rsidR="00D15FC8" w:rsidRPr="000E5903">
          <w:rPr>
            <w:rStyle w:val="a4"/>
            <w:color w:val="auto"/>
            <w:sz w:val="20"/>
            <w:szCs w:val="20"/>
            <w:u w:val="none"/>
            <w:shd w:val="clear" w:color="auto" w:fill="FFFFFF"/>
            <w:lang w:val="uk-UA"/>
          </w:rPr>
          <w:t>проекту порядку денного</w:t>
        </w:r>
      </w:hyperlink>
      <w:r w:rsidR="00D15FC8" w:rsidRPr="000E5903">
        <w:rPr>
          <w:sz w:val="20"/>
          <w:szCs w:val="20"/>
          <w:shd w:val="clear" w:color="auto" w:fill="FFFFFF"/>
          <w:lang w:val="uk-UA"/>
        </w:rPr>
        <w:t> до суду не зупиняє проведення загальних зборів. Суд за результатами розгляду справи може постановити рішення про зобов'язання товариства провести загальні збори з питання, у включенні якого до </w:t>
      </w:r>
      <w:hyperlink r:id="rId35" w:tgtFrame="_top" w:history="1">
        <w:r w:rsidR="00D15FC8" w:rsidRPr="000E5903">
          <w:rPr>
            <w:rStyle w:val="a4"/>
            <w:color w:val="auto"/>
            <w:sz w:val="20"/>
            <w:szCs w:val="20"/>
            <w:u w:val="none"/>
            <w:shd w:val="clear" w:color="auto" w:fill="FFFFFF"/>
            <w:lang w:val="uk-UA"/>
          </w:rPr>
          <w:t>проекту порядку денного</w:t>
        </w:r>
      </w:hyperlink>
      <w:r w:rsidR="00D15FC8" w:rsidRPr="000E5903">
        <w:rPr>
          <w:sz w:val="20"/>
          <w:szCs w:val="20"/>
          <w:shd w:val="clear" w:color="auto" w:fill="FFFFFF"/>
          <w:lang w:val="uk-UA"/>
        </w:rPr>
        <w:t> було безпідставно відмовлено акціонеру.</w:t>
      </w:r>
    </w:p>
    <w:p w:rsidR="00D15FC8" w:rsidRPr="000E5903" w:rsidRDefault="00D15FC8" w:rsidP="00D15FC8">
      <w:pPr>
        <w:jc w:val="both"/>
        <w:rPr>
          <w:sz w:val="20"/>
          <w:szCs w:val="20"/>
          <w:lang w:val="uk-UA"/>
        </w:rPr>
      </w:pPr>
      <w:r w:rsidRPr="000E5903">
        <w:rPr>
          <w:b/>
          <w:sz w:val="20"/>
          <w:szCs w:val="20"/>
          <w:lang w:val="uk-UA" w:eastAsia="uk-UA"/>
        </w:rPr>
        <w:t>Порядок участі та голосування на загальних зборах за довіреністю:</w:t>
      </w:r>
      <w:r w:rsidRPr="000E5903">
        <w:rPr>
          <w:sz w:val="20"/>
          <w:szCs w:val="20"/>
          <w:lang w:val="uk-UA" w:eastAsia="uk-UA"/>
        </w:rPr>
        <w:t xml:space="preserve"> </w:t>
      </w:r>
      <w:r w:rsidRPr="000E5903">
        <w:rPr>
          <w:sz w:val="20"/>
          <w:szCs w:val="20"/>
          <w:lang w:val="uk-UA"/>
        </w:rPr>
        <w:t xml:space="preserve">Представником акціонера на загальних зборах акціонерного товариства може бути фізична особа або уповноважена особа юридичної особи, а також уповноважена особа держави чи територіальної громади. Посадові особи органів товариства та їх афілійовані особи не можуть бути представниками інших акціонерів товариства на загальних зборах. Представником акціонера - фізичної чи юридичної особи на загальних зборах акціонерного товариства 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державним чи комунальним майном. Акціонер має право призначити свого представника постійно або на певний строк. Акціонер має право у будь-який момент замінити свого представника, повідомивши про це виконавчий орган акціонерного товариства. Повідомлення акціонером відповідного органу товариства про призначення,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 </w:t>
      </w:r>
      <w:hyperlink r:id="rId36" w:tgtFrame="_top" w:history="1">
        <w:r w:rsidRPr="000E5903">
          <w:rPr>
            <w:rStyle w:val="a4"/>
            <w:color w:val="auto"/>
            <w:sz w:val="20"/>
            <w:szCs w:val="20"/>
            <w:u w:val="none"/>
            <w:shd w:val="clear" w:color="auto" w:fill="FFFFFF"/>
            <w:lang w:val="uk-UA"/>
          </w:rPr>
          <w:t>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Довіреність на право участі та голосування на загальних зборах від імені юридичної особи видається її органом або іншою особою, уповноваженою на це її установчими документами.</w:t>
        </w:r>
      </w:hyperlink>
      <w:r w:rsidRPr="000E5903">
        <w:rPr>
          <w:sz w:val="20"/>
          <w:szCs w:val="20"/>
          <w:lang w:val="uk-UA"/>
        </w:rPr>
        <w:t xml:space="preserve"> Довіреність на право участі та голосування на загальних зборах акціонерного товариства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Під час голосування на загальних зборах представник повинен голосувати саме так, як передбачено завданням </w:t>
      </w:r>
      <w:r w:rsidRPr="000E5903">
        <w:rPr>
          <w:sz w:val="20"/>
          <w:szCs w:val="20"/>
          <w:lang w:val="uk-UA"/>
        </w:rPr>
        <w:lastRenderedPageBreak/>
        <w:t>щодо голосування. Якщо довіреність не містить завдання щодо голосування, представник вирішує всі питання щодо голосування на загальних зборах акціонерів на свій розсуд. Акціонер має право </w:t>
      </w:r>
      <w:hyperlink r:id="rId37" w:tgtFrame="_top" w:history="1">
        <w:r w:rsidRPr="000E5903">
          <w:rPr>
            <w:rStyle w:val="a4"/>
            <w:color w:val="auto"/>
            <w:sz w:val="20"/>
            <w:szCs w:val="20"/>
            <w:u w:val="none"/>
            <w:lang w:val="uk-UA"/>
          </w:rPr>
          <w:t>видати</w:t>
        </w:r>
      </w:hyperlink>
      <w:r w:rsidRPr="000E5903">
        <w:rPr>
          <w:sz w:val="20"/>
          <w:szCs w:val="20"/>
          <w:lang w:val="uk-UA"/>
        </w:rPr>
        <w:t xml:space="preserve">  довіреність на право участі та голосування на загальних зборах декільком своїм представникам. Акціонер має право у будь-який час відкликати чи замінити свого представника на загальних зборах акціонерного товариства. Надання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w:t>
      </w:r>
    </w:p>
    <w:p w:rsidR="00D15FC8" w:rsidRPr="000E5903" w:rsidRDefault="00D15FC8" w:rsidP="00D15FC8">
      <w:pPr>
        <w:ind w:left="720"/>
        <w:jc w:val="both"/>
        <w:rPr>
          <w:b/>
          <w:sz w:val="20"/>
          <w:szCs w:val="20"/>
          <w:lang w:val="uk-UA"/>
        </w:rPr>
      </w:pPr>
      <w:r w:rsidRPr="000E5903">
        <w:rPr>
          <w:b/>
          <w:sz w:val="20"/>
          <w:szCs w:val="20"/>
          <w:lang w:val="uk-UA"/>
        </w:rPr>
        <w:t>Підтверджую достовірність інформації, що міститься у повідомленні.</w:t>
      </w:r>
      <w:r w:rsidRPr="000E5903">
        <w:rPr>
          <w:sz w:val="20"/>
          <w:szCs w:val="20"/>
          <w:lang w:val="uk-UA"/>
        </w:rPr>
        <w:tab/>
      </w:r>
      <w:r w:rsidRPr="000E5903">
        <w:rPr>
          <w:sz w:val="20"/>
          <w:szCs w:val="20"/>
          <w:lang w:val="uk-UA"/>
        </w:rPr>
        <w:tab/>
      </w:r>
    </w:p>
    <w:p w:rsidR="00D15FC8" w:rsidRPr="000E5903" w:rsidRDefault="00D15FC8" w:rsidP="00D15FC8">
      <w:pPr>
        <w:ind w:firstLine="708"/>
        <w:jc w:val="both"/>
        <w:rPr>
          <w:b/>
          <w:sz w:val="20"/>
          <w:szCs w:val="20"/>
          <w:lang w:val="uk-UA"/>
        </w:rPr>
      </w:pPr>
      <w:r w:rsidRPr="000E5903">
        <w:rPr>
          <w:b/>
          <w:sz w:val="20"/>
          <w:szCs w:val="20"/>
          <w:lang w:val="uk-UA"/>
        </w:rPr>
        <w:t xml:space="preserve">Генеральний директор                                 (підпис)                     Р.С. Распопов </w:t>
      </w:r>
    </w:p>
    <w:p w:rsidR="00D15FC8" w:rsidRPr="000E5903" w:rsidRDefault="00D15FC8" w:rsidP="00D15FC8">
      <w:pPr>
        <w:ind w:firstLine="708"/>
        <w:jc w:val="both"/>
        <w:rPr>
          <w:b/>
          <w:sz w:val="20"/>
          <w:szCs w:val="20"/>
          <w:lang w:val="uk-UA"/>
        </w:rPr>
      </w:pPr>
      <w:r w:rsidRPr="000E5903">
        <w:rPr>
          <w:sz w:val="20"/>
          <w:szCs w:val="20"/>
          <w:lang w:val="uk-UA"/>
        </w:rPr>
        <w:t xml:space="preserve">Довідки за </w:t>
      </w:r>
      <w:proofErr w:type="spellStart"/>
      <w:r w:rsidRPr="000E5903">
        <w:rPr>
          <w:sz w:val="20"/>
          <w:szCs w:val="20"/>
          <w:lang w:val="uk-UA"/>
        </w:rPr>
        <w:t>тел</w:t>
      </w:r>
      <w:proofErr w:type="spellEnd"/>
      <w:r w:rsidRPr="000E5903">
        <w:rPr>
          <w:sz w:val="20"/>
          <w:szCs w:val="20"/>
          <w:lang w:val="uk-UA"/>
        </w:rPr>
        <w:t>.: +38 (056) 736-21-65</w:t>
      </w:r>
    </w:p>
    <w:p w:rsidR="00D15FC8" w:rsidRPr="000E5903" w:rsidRDefault="00D15FC8" w:rsidP="00D15FC8">
      <w:pPr>
        <w:jc w:val="both"/>
        <w:rPr>
          <w:b/>
          <w:sz w:val="20"/>
          <w:szCs w:val="20"/>
          <w:lang w:val="uk-UA"/>
        </w:rPr>
      </w:pPr>
      <w:r w:rsidRPr="000E5903">
        <w:rPr>
          <w:noProof/>
          <w:sz w:val="20"/>
          <w:szCs w:val="20"/>
        </w:rPr>
        <mc:AlternateContent>
          <mc:Choice Requires="wps">
            <w:drawing>
              <wp:anchor distT="0" distB="0" distL="114300" distR="114300" simplePos="0" relativeHeight="251662336" behindDoc="0" locked="0" layoutInCell="1" allowOverlap="1" wp14:anchorId="07A2E0C3" wp14:editId="0E955516">
                <wp:simplePos x="0" y="0"/>
                <wp:positionH relativeFrom="column">
                  <wp:posOffset>0</wp:posOffset>
                </wp:positionH>
                <wp:positionV relativeFrom="paragraph">
                  <wp:posOffset>57150</wp:posOffset>
                </wp:positionV>
                <wp:extent cx="5943600" cy="0"/>
                <wp:effectExtent l="0" t="0" r="1905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852FD8" id="Прямая соединительная линия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5pt" to="468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"/>
            </w:pict>
          </mc:Fallback>
        </mc:AlternateContent>
      </w:r>
    </w:p>
    <w:p w:rsidR="00D15FC8" w:rsidRPr="000E5903" w:rsidRDefault="00D15FC8" w:rsidP="00D15FC8">
      <w:pPr>
        <w:rPr>
          <w:sz w:val="20"/>
          <w:szCs w:val="20"/>
        </w:rPr>
      </w:pPr>
    </w:p>
    <w:p w:rsidR="00D15FC8" w:rsidRPr="000E5903" w:rsidRDefault="00D15FC8" w:rsidP="00D15FC8">
      <w:pPr>
        <w:rPr>
          <w:sz w:val="20"/>
          <w:szCs w:val="20"/>
        </w:rPr>
      </w:pPr>
    </w:p>
    <w:p w:rsidR="00D15FC8" w:rsidRPr="000E5903" w:rsidRDefault="00D15FC8" w:rsidP="00D15FC8">
      <w:pPr>
        <w:ind w:left="720"/>
        <w:jc w:val="both"/>
        <w:rPr>
          <w:sz w:val="20"/>
          <w:szCs w:val="20"/>
          <w:lang w:val="uk-UA"/>
        </w:rPr>
      </w:pPr>
    </w:p>
    <w:p w:rsidR="00D15FC8" w:rsidRPr="000E5903" w:rsidRDefault="00D15FC8" w:rsidP="00D15FC8">
      <w:pPr>
        <w:rPr>
          <w:sz w:val="20"/>
          <w:szCs w:val="20"/>
        </w:rPr>
      </w:pPr>
    </w:p>
    <w:p w:rsidR="00D15FC8" w:rsidRPr="000E5903" w:rsidRDefault="00D15FC8" w:rsidP="00D15FC8">
      <w:pPr>
        <w:rPr>
          <w:sz w:val="20"/>
          <w:szCs w:val="20"/>
        </w:rPr>
      </w:pPr>
    </w:p>
    <w:p w:rsidR="00D15FC8" w:rsidRPr="000E5903" w:rsidRDefault="00D15FC8" w:rsidP="00D15FC8">
      <w:pPr>
        <w:ind w:left="720"/>
        <w:jc w:val="both"/>
        <w:rPr>
          <w:sz w:val="20"/>
          <w:szCs w:val="20"/>
          <w:lang w:val="uk-UA"/>
        </w:rPr>
      </w:pPr>
    </w:p>
    <w:p w:rsidR="00D15FC8" w:rsidRPr="000E5903" w:rsidRDefault="00D15FC8" w:rsidP="00D15FC8">
      <w:pPr>
        <w:rPr>
          <w:sz w:val="20"/>
          <w:szCs w:val="20"/>
        </w:rPr>
      </w:pPr>
    </w:p>
    <w:p w:rsidR="00D15FC8" w:rsidRPr="000E5903" w:rsidRDefault="00D15FC8" w:rsidP="00D15FC8">
      <w:pPr>
        <w:rPr>
          <w:sz w:val="20"/>
          <w:szCs w:val="20"/>
        </w:rPr>
      </w:pPr>
    </w:p>
    <w:p w:rsidR="00D15FC8" w:rsidRPr="000E5903" w:rsidRDefault="00D15FC8" w:rsidP="00D15FC8"/>
    <w:p w:rsidR="00283F60" w:rsidRPr="000E5903" w:rsidRDefault="00283F60" w:rsidP="00283F60"/>
    <w:p w:rsidR="000861E1" w:rsidRPr="000E5903" w:rsidRDefault="000E5903"/>
    <w:sectPr w:rsidR="000861E1" w:rsidRPr="000E5903" w:rsidSect="006F64D2">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B5D70"/>
    <w:multiLevelType w:val="hybridMultilevel"/>
    <w:tmpl w:val="E42E4568"/>
    <w:lvl w:ilvl="0" w:tplc="DE7CDD56">
      <w:start w:val="1"/>
      <w:numFmt w:val="decimal"/>
      <w:lvlText w:val="%1."/>
      <w:lvlJc w:val="left"/>
      <w:pPr>
        <w:tabs>
          <w:tab w:val="num" w:pos="720"/>
        </w:tabs>
        <w:ind w:left="720" w:hanging="360"/>
      </w:pPr>
      <w:rPr>
        <w:b w:val="0"/>
      </w:rPr>
    </w:lvl>
    <w:lvl w:ilvl="1" w:tplc="F9EA4E12">
      <w:start w:val="1"/>
      <w:numFmt w:val="decimal"/>
      <w:lvlText w:val="%2."/>
      <w:lvlJc w:val="left"/>
      <w:pPr>
        <w:tabs>
          <w:tab w:val="num" w:pos="1440"/>
        </w:tabs>
        <w:ind w:left="1440" w:hanging="360"/>
      </w:pPr>
      <w:rPr>
        <w:rFonts w:hint="default"/>
        <w:i w:val="0"/>
      </w:rPr>
    </w:lvl>
    <w:lvl w:ilvl="2" w:tplc="52E0C3E6">
      <w:start w:val="1"/>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A930287"/>
    <w:multiLevelType w:val="hybridMultilevel"/>
    <w:tmpl w:val="86FE246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CA4C92"/>
    <w:multiLevelType w:val="hybridMultilevel"/>
    <w:tmpl w:val="DBC82A4C"/>
    <w:lvl w:ilvl="0" w:tplc="2AC2A40C">
      <w:start w:val="1"/>
      <w:numFmt w:val="decimal"/>
      <w:lvlText w:val="%1."/>
      <w:lvlJc w:val="left"/>
      <w:pPr>
        <w:tabs>
          <w:tab w:val="num" w:pos="720"/>
        </w:tabs>
        <w:ind w:left="720" w:hanging="360"/>
      </w:pPr>
      <w:rPr>
        <w:rFonts w:ascii="Times New Roman" w:eastAsia="Times New Roman" w:hAnsi="Times New Roman" w:cs="Times New Roman"/>
        <w:b/>
      </w:rPr>
    </w:lvl>
    <w:lvl w:ilvl="1" w:tplc="6B7CD844">
      <w:start w:val="1"/>
      <w:numFmt w:val="decimal"/>
      <w:lvlText w:val="%2."/>
      <w:lvlJc w:val="left"/>
      <w:pPr>
        <w:tabs>
          <w:tab w:val="num" w:pos="1440"/>
        </w:tabs>
        <w:ind w:left="1440" w:hanging="360"/>
      </w:pPr>
      <w:rPr>
        <w:rFonts w:ascii="Times New Roman" w:hAnsi="Times New Roman" w:cs="Times New Roman"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6643B5A"/>
    <w:multiLevelType w:val="hybridMultilevel"/>
    <w:tmpl w:val="73120F92"/>
    <w:lvl w:ilvl="0" w:tplc="0419000F">
      <w:start w:val="1"/>
      <w:numFmt w:val="decimal"/>
      <w:lvlText w:val="%1."/>
      <w:lvlJc w:val="left"/>
      <w:pPr>
        <w:ind w:left="1058" w:hanging="360"/>
      </w:pPr>
    </w:lvl>
    <w:lvl w:ilvl="1" w:tplc="04190019">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F60"/>
    <w:rsid w:val="000E5903"/>
    <w:rsid w:val="00283F60"/>
    <w:rsid w:val="003100D0"/>
    <w:rsid w:val="00460A2A"/>
    <w:rsid w:val="006F319F"/>
    <w:rsid w:val="00C57361"/>
    <w:rsid w:val="00CF4F58"/>
    <w:rsid w:val="00D15FC8"/>
    <w:rsid w:val="00DD28B8"/>
    <w:rsid w:val="00F74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F6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3F60"/>
    <w:pPr>
      <w:ind w:left="720"/>
      <w:contextualSpacing/>
    </w:pPr>
  </w:style>
  <w:style w:type="character" w:styleId="a4">
    <w:name w:val="Hyperlink"/>
    <w:uiPriority w:val="99"/>
    <w:unhideWhenUsed/>
    <w:rsid w:val="00283F60"/>
    <w:rPr>
      <w:color w:val="0000FF"/>
      <w:u w:val="single"/>
    </w:rPr>
  </w:style>
  <w:style w:type="character" w:styleId="a5">
    <w:name w:val="Strong"/>
    <w:basedOn w:val="a0"/>
    <w:uiPriority w:val="22"/>
    <w:qFormat/>
    <w:rsid w:val="00283F6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F6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3F60"/>
    <w:pPr>
      <w:ind w:left="720"/>
      <w:contextualSpacing/>
    </w:pPr>
  </w:style>
  <w:style w:type="character" w:styleId="a4">
    <w:name w:val="Hyperlink"/>
    <w:uiPriority w:val="99"/>
    <w:unhideWhenUsed/>
    <w:rsid w:val="00283F60"/>
    <w:rPr>
      <w:color w:val="0000FF"/>
      <w:u w:val="single"/>
    </w:rPr>
  </w:style>
  <w:style w:type="character" w:styleId="a5">
    <w:name w:val="Strong"/>
    <w:basedOn w:val="a0"/>
    <w:uiPriority w:val="22"/>
    <w:qFormat/>
    <w:rsid w:val="00283F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arch.ligazakon.ua/l_doc2.nsf/link1/T172210.html" TargetMode="External"/><Relationship Id="rId18" Type="http://schemas.openxmlformats.org/officeDocument/2006/relationships/hyperlink" Target="http://search.ligazakon.ua/l_doc2.nsf/link1/T112994.html" TargetMode="External"/><Relationship Id="rId26" Type="http://schemas.openxmlformats.org/officeDocument/2006/relationships/hyperlink" Target="http://search.ligazakon.ua/l_doc2.nsf/link1/T150289.html" TargetMode="External"/><Relationship Id="rId39" Type="http://schemas.openxmlformats.org/officeDocument/2006/relationships/theme" Target="theme/theme1.xml"/><Relationship Id="rId21" Type="http://schemas.openxmlformats.org/officeDocument/2006/relationships/hyperlink" Target="http://search.ligazakon.ua/l_doc2.nsf/link1/T112994.html" TargetMode="External"/><Relationship Id="rId34" Type="http://schemas.openxmlformats.org/officeDocument/2006/relationships/hyperlink" Target="http://search.ligazakon.ua/l_doc2.nsf/link1/T150289.html" TargetMode="External"/><Relationship Id="rId7" Type="http://schemas.openxmlformats.org/officeDocument/2006/relationships/hyperlink" Target="http://search.ligazakon.ua/l_doc2.nsf/link1/T172210.html" TargetMode="External"/><Relationship Id="rId12" Type="http://schemas.openxmlformats.org/officeDocument/2006/relationships/hyperlink" Target="http://search.ligazakon.ua/l_doc2.nsf/link1/T150289.html" TargetMode="External"/><Relationship Id="rId17" Type="http://schemas.openxmlformats.org/officeDocument/2006/relationships/hyperlink" Target="http://search.ligazakon.ua/l_doc2.nsf/link1/T150289.html" TargetMode="External"/><Relationship Id="rId25" Type="http://schemas.openxmlformats.org/officeDocument/2006/relationships/hyperlink" Target="http://search.ligazakon.ua/l_doc2.nsf/link1/T112994.html" TargetMode="External"/><Relationship Id="rId33" Type="http://schemas.openxmlformats.org/officeDocument/2006/relationships/hyperlink" Target="http://search.ligazakon.ua/l_doc2.nsf/link1/T172210.html"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arch.ligazakon.ua/l_doc2.nsf/link1/T150289.html" TargetMode="External"/><Relationship Id="rId20" Type="http://schemas.openxmlformats.org/officeDocument/2006/relationships/hyperlink" Target="http://search.ligazakon.ua/l_doc2.nsf/link1/T112994.html" TargetMode="External"/><Relationship Id="rId29" Type="http://schemas.openxmlformats.org/officeDocument/2006/relationships/hyperlink" Target="http://search.ligazakon.ua/l_doc2.nsf/link1/T172210.html" TargetMode="External"/><Relationship Id="rId1" Type="http://schemas.openxmlformats.org/officeDocument/2006/relationships/numbering" Target="numbering.xml"/><Relationship Id="rId6" Type="http://schemas.openxmlformats.org/officeDocument/2006/relationships/hyperlink" Target="http://www.apk-invest.com.ua" TargetMode="External"/><Relationship Id="rId11" Type="http://schemas.openxmlformats.org/officeDocument/2006/relationships/hyperlink" Target="http://search.ligazakon.ua/l_doc2.nsf/link1/T150289.html" TargetMode="External"/><Relationship Id="rId24" Type="http://schemas.openxmlformats.org/officeDocument/2006/relationships/hyperlink" Target="http://search.ligazakon.ua/l_doc2.nsf/link1/T172210.html" TargetMode="External"/><Relationship Id="rId32" Type="http://schemas.openxmlformats.org/officeDocument/2006/relationships/hyperlink" Target="http://search.ligazakon.ua/l_doc2.nsf/link1/T150289.html" TargetMode="External"/><Relationship Id="rId37" Type="http://schemas.openxmlformats.org/officeDocument/2006/relationships/hyperlink" Target="http://search.ligazakon.ua/l_doc2.nsf/link1/T112994.html" TargetMode="External"/><Relationship Id="rId5" Type="http://schemas.openxmlformats.org/officeDocument/2006/relationships/webSettings" Target="webSettings.xml"/><Relationship Id="rId15" Type="http://schemas.openxmlformats.org/officeDocument/2006/relationships/hyperlink" Target="http://search.ligazakon.ua/l_doc2.nsf/link1/T150289.html" TargetMode="External"/><Relationship Id="rId23" Type="http://schemas.openxmlformats.org/officeDocument/2006/relationships/hyperlink" Target="http://search.ligazakon.ua/l_doc2.nsf/link1/T112994.html" TargetMode="External"/><Relationship Id="rId28" Type="http://schemas.openxmlformats.org/officeDocument/2006/relationships/hyperlink" Target="http://search.ligazakon.ua/l_doc2.nsf/link1/T112994.html" TargetMode="External"/><Relationship Id="rId36" Type="http://schemas.openxmlformats.org/officeDocument/2006/relationships/hyperlink" Target="http://search.ligazakon.ua/l_doc2.nsf/link1/T150289.html" TargetMode="External"/><Relationship Id="rId10" Type="http://schemas.openxmlformats.org/officeDocument/2006/relationships/hyperlink" Target="http://search.ligazakon.ua/l_doc2.nsf/link1/T172210.html" TargetMode="External"/><Relationship Id="rId19" Type="http://schemas.openxmlformats.org/officeDocument/2006/relationships/hyperlink" Target="http://search.ligazakon.ua/l_doc2.nsf/link1/T150289.html" TargetMode="External"/><Relationship Id="rId31" Type="http://schemas.openxmlformats.org/officeDocument/2006/relationships/hyperlink" Target="http://search.ligazakon.ua/l_doc2.nsf/link1/T172210.html" TargetMode="External"/><Relationship Id="rId4" Type="http://schemas.openxmlformats.org/officeDocument/2006/relationships/settings" Target="settings.xml"/><Relationship Id="rId9" Type="http://schemas.openxmlformats.org/officeDocument/2006/relationships/hyperlink" Target="http://search.ligazakon.ua/l_doc2.nsf/link1/T150289.html" TargetMode="External"/><Relationship Id="rId14" Type="http://schemas.openxmlformats.org/officeDocument/2006/relationships/hyperlink" Target="http://search.ligazakon.ua/l_doc2.nsf/link1/T150289.html" TargetMode="External"/><Relationship Id="rId22" Type="http://schemas.openxmlformats.org/officeDocument/2006/relationships/hyperlink" Target="http://search.ligazakon.ua/l_doc2.nsf/link1/T150289.html" TargetMode="External"/><Relationship Id="rId27" Type="http://schemas.openxmlformats.org/officeDocument/2006/relationships/hyperlink" Target="http://search.ligazakon.ua/l_doc2.nsf/link1/T112994.html" TargetMode="External"/><Relationship Id="rId30" Type="http://schemas.openxmlformats.org/officeDocument/2006/relationships/hyperlink" Target="http://search.ligazakon.ua/l_doc2.nsf/link1/T112994.html" TargetMode="External"/><Relationship Id="rId35" Type="http://schemas.openxmlformats.org/officeDocument/2006/relationships/hyperlink" Target="http://search.ligazakon.ua/l_doc2.nsf/link1/T150289.html" TargetMode="External"/><Relationship Id="rId8" Type="http://schemas.openxmlformats.org/officeDocument/2006/relationships/hyperlink" Target="http://search.ligazakon.ua/l_doc2.nsf/link1/T150289.html"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2757</Words>
  <Characters>15721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Гнатенко Юлия Евгеньевна</dc:creator>
  <cp:lastModifiedBy>Гнатенко Юлия Евгеньевна</cp:lastModifiedBy>
  <cp:revision>7</cp:revision>
  <dcterms:created xsi:type="dcterms:W3CDTF">2020-03-06T13:55:00Z</dcterms:created>
  <dcterms:modified xsi:type="dcterms:W3CDTF">2020-03-13T14:01:00Z</dcterms:modified>
</cp:coreProperties>
</file>